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041C1">
      <w:pPr>
        <w:spacing w:beforeLines="150" w:afterLines="15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山东济钢环保新材料有限公司</w:t>
      </w:r>
    </w:p>
    <w:p w14:paraId="56DACB82">
      <w:pPr>
        <w:spacing w:line="276" w:lineRule="auto"/>
        <w:jc w:val="center"/>
        <w:rPr>
          <w:rFonts w:ascii="黑体" w:hAnsi="黑体" w:eastAsia="黑体"/>
          <w:b/>
          <w:sz w:val="44"/>
          <w:szCs w:val="44"/>
        </w:rPr>
      </w:pPr>
      <w:r>
        <w:rPr>
          <w:rFonts w:hint="eastAsia" w:ascii="黑体" w:hAnsi="黑体" w:eastAsia="黑体"/>
          <w:b/>
          <w:sz w:val="44"/>
          <w:szCs w:val="44"/>
        </w:rPr>
        <w:t>济钢环保新材料产业园二期建设项目建筑石料用灰岩东矿区安全验收采购</w:t>
      </w:r>
    </w:p>
    <w:p w14:paraId="6072E9A4">
      <w:pPr>
        <w:spacing w:line="300" w:lineRule="auto"/>
        <w:ind w:firstLine="3182" w:firstLineChars="800"/>
        <w:rPr>
          <w:rFonts w:ascii="方正小标宋简体" w:hAnsi="方正小标宋简体" w:eastAsia="方正小标宋简体" w:cs="方正小标宋简体"/>
          <w:b/>
          <w:bCs/>
          <w:w w:val="90"/>
          <w:sz w:val="44"/>
          <w:szCs w:val="44"/>
        </w:rPr>
      </w:pPr>
    </w:p>
    <w:p w14:paraId="4B4B3293">
      <w:pPr>
        <w:spacing w:line="300" w:lineRule="auto"/>
        <w:ind w:firstLine="3182" w:firstLineChars="800"/>
        <w:rPr>
          <w:rFonts w:ascii="方正小标宋简体" w:hAnsi="方正小标宋简体" w:eastAsia="方正小标宋简体" w:cs="方正小标宋简体"/>
          <w:b/>
          <w:bCs/>
          <w:w w:val="90"/>
          <w:sz w:val="44"/>
          <w:szCs w:val="44"/>
        </w:rPr>
      </w:pPr>
    </w:p>
    <w:p w14:paraId="107E2D4D">
      <w:pPr>
        <w:spacing w:line="300" w:lineRule="auto"/>
        <w:ind w:firstLine="3182" w:firstLineChars="800"/>
        <w:rPr>
          <w:rFonts w:ascii="方正小标宋简体" w:hAnsi="方正小标宋简体" w:eastAsia="方正小标宋简体" w:cs="方正小标宋简体"/>
          <w:b/>
          <w:bCs/>
          <w:w w:val="90"/>
          <w:sz w:val="44"/>
          <w:szCs w:val="44"/>
        </w:rPr>
      </w:pPr>
    </w:p>
    <w:p w14:paraId="7A6E52F6">
      <w:pPr>
        <w:spacing w:beforeLines="150" w:afterLines="15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竞争性谈判文件</w:t>
      </w:r>
    </w:p>
    <w:p w14:paraId="2EA87D69">
      <w:pPr>
        <w:spacing w:line="300" w:lineRule="auto"/>
        <w:jc w:val="center"/>
        <w:rPr>
          <w:rFonts w:ascii="方正小标宋简体" w:hAnsi="方正小标宋简体" w:eastAsia="方正小标宋简体" w:cs="方正小标宋简体"/>
          <w:b/>
          <w:bCs/>
          <w:w w:val="90"/>
          <w:sz w:val="44"/>
          <w:szCs w:val="44"/>
        </w:rPr>
      </w:pPr>
    </w:p>
    <w:p w14:paraId="6358F6AC">
      <w:pPr>
        <w:spacing w:line="300" w:lineRule="auto"/>
        <w:ind w:firstLine="6401" w:firstLineChars="1449"/>
        <w:rPr>
          <w:rFonts w:ascii="方正小标宋简体" w:hAnsi="方正小标宋简体" w:eastAsia="方正小标宋简体" w:cs="方正小标宋简体"/>
          <w:b/>
          <w:sz w:val="44"/>
          <w:szCs w:val="44"/>
        </w:rPr>
      </w:pPr>
    </w:p>
    <w:p w14:paraId="537BE380">
      <w:pPr>
        <w:spacing w:line="300" w:lineRule="auto"/>
        <w:ind w:firstLine="5288" w:firstLineChars="1646"/>
        <w:rPr>
          <w:rFonts w:ascii="方正小标宋简体" w:hAnsi="方正小标宋简体" w:eastAsia="方正小标宋简体" w:cs="方正小标宋简体"/>
          <w:b/>
          <w:sz w:val="32"/>
          <w:szCs w:val="32"/>
          <w:u w:val="single"/>
        </w:rPr>
      </w:pPr>
    </w:p>
    <w:p w14:paraId="6CA5C146">
      <w:pPr>
        <w:tabs>
          <w:tab w:val="left" w:pos="1134"/>
          <w:tab w:val="left" w:pos="5481"/>
          <w:tab w:val="left" w:pos="5859"/>
        </w:tabs>
        <w:spacing w:line="300" w:lineRule="auto"/>
        <w:rPr>
          <w:rFonts w:ascii="方正小标宋简体" w:hAnsi="方正小标宋简体" w:eastAsia="方正小标宋简体" w:cs="方正小标宋简体"/>
          <w:b/>
          <w:sz w:val="28"/>
          <w:szCs w:val="28"/>
        </w:rPr>
      </w:pPr>
    </w:p>
    <w:p w14:paraId="7BA56B2E">
      <w:pPr>
        <w:tabs>
          <w:tab w:val="left" w:pos="1134"/>
          <w:tab w:val="left" w:pos="5481"/>
          <w:tab w:val="left" w:pos="5859"/>
        </w:tabs>
        <w:spacing w:line="300" w:lineRule="auto"/>
        <w:rPr>
          <w:rFonts w:ascii="方正小标宋简体" w:hAnsi="方正小标宋简体" w:eastAsia="方正小标宋简体" w:cs="方正小标宋简体"/>
          <w:b/>
          <w:sz w:val="28"/>
          <w:szCs w:val="28"/>
        </w:rPr>
      </w:pPr>
    </w:p>
    <w:p w14:paraId="120EFCE4">
      <w:pPr>
        <w:spacing w:line="300" w:lineRule="auto"/>
        <w:ind w:firstLine="560" w:firstLineChars="200"/>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28"/>
          <w:szCs w:val="28"/>
        </w:rPr>
        <w:t xml:space="preserve">   </w:t>
      </w:r>
      <w:r>
        <w:rPr>
          <w:rFonts w:hint="eastAsia" w:ascii="方正小标宋简体" w:hAnsi="方正小标宋简体" w:eastAsia="方正小标宋简体" w:cs="方正小标宋简体"/>
          <w:bCs/>
          <w:sz w:val="32"/>
          <w:szCs w:val="32"/>
        </w:rPr>
        <w:t xml:space="preserve">    采购人：山东济钢环保新材料有限公司 </w:t>
      </w:r>
    </w:p>
    <w:p w14:paraId="3B30AB26">
      <w:pPr>
        <w:pStyle w:val="43"/>
        <w:spacing w:line="300" w:lineRule="auto"/>
        <w:jc w:val="center"/>
        <w:rPr>
          <w:rFonts w:ascii="方正小标宋简体" w:hAnsi="方正小标宋简体" w:eastAsia="方正小标宋简体" w:cs="方正小标宋简体"/>
          <w:bCs/>
          <w:spacing w:val="28"/>
          <w:sz w:val="32"/>
          <w:szCs w:val="32"/>
        </w:rPr>
      </w:pPr>
      <w:r>
        <w:rPr>
          <w:rFonts w:hint="eastAsia" w:ascii="方正小标宋简体" w:hAnsi="方正小标宋简体" w:eastAsia="方正小标宋简体" w:cs="方正小标宋简体"/>
          <w:bCs/>
          <w:spacing w:val="28"/>
          <w:sz w:val="32"/>
          <w:szCs w:val="32"/>
        </w:rPr>
        <w:t>2025年6月30日</w:t>
      </w:r>
    </w:p>
    <w:p w14:paraId="37E00704">
      <w:pPr>
        <w:spacing w:line="300" w:lineRule="auto"/>
        <w:rPr>
          <w:rFonts w:ascii="方正小标宋简体" w:hAnsi="方正小标宋简体" w:eastAsia="方正小标宋简体" w:cs="方正小标宋简体"/>
          <w:bCs/>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495C24FB">
      <w:pPr>
        <w:spacing w:line="300" w:lineRule="auto"/>
        <w:jc w:val="center"/>
        <w:rPr>
          <w:rFonts w:ascii="黑体" w:hAnsi="黑体" w:eastAsia="黑体"/>
          <w:b/>
          <w:sz w:val="36"/>
          <w:szCs w:val="36"/>
        </w:rPr>
      </w:pPr>
    </w:p>
    <w:p w14:paraId="487CC7B4">
      <w:pPr>
        <w:spacing w:line="300" w:lineRule="auto"/>
        <w:jc w:val="center"/>
        <w:rPr>
          <w:rFonts w:ascii="黑体" w:hAnsi="黑体" w:eastAsia="黑体"/>
          <w:b/>
          <w:sz w:val="36"/>
          <w:szCs w:val="36"/>
        </w:rPr>
      </w:pPr>
      <w:r>
        <w:rPr>
          <w:rFonts w:hint="eastAsia" w:ascii="黑体" w:hAnsi="黑体" w:eastAsia="黑体"/>
          <w:b/>
          <w:sz w:val="36"/>
          <w:szCs w:val="36"/>
        </w:rPr>
        <w:t>第一章</w:t>
      </w:r>
      <w:r>
        <w:rPr>
          <w:rFonts w:ascii="黑体" w:hAnsi="黑体" w:eastAsia="黑体"/>
          <w:b/>
          <w:sz w:val="36"/>
          <w:szCs w:val="36"/>
        </w:rPr>
        <w:t xml:space="preserve"> </w:t>
      </w:r>
      <w:bookmarkStart w:id="0" w:name="_Toc446434284"/>
      <w:bookmarkEnd w:id="0"/>
      <w:r>
        <w:rPr>
          <w:rFonts w:hint="eastAsia" w:ascii="黑体" w:hAnsi="黑体" w:eastAsia="黑体"/>
          <w:b/>
          <w:sz w:val="36"/>
          <w:szCs w:val="36"/>
        </w:rPr>
        <w:t xml:space="preserve">  竞争性谈判公告</w:t>
      </w:r>
    </w:p>
    <w:p w14:paraId="40262913">
      <w:pPr>
        <w:spacing w:line="401" w:lineRule="auto"/>
        <w:ind w:firstLine="482" w:firstLineChars="200"/>
        <w:jc w:val="left"/>
        <w:rPr>
          <w:rFonts w:ascii="宋体" w:hAnsi="宋体" w:cs="宋体"/>
          <w:b/>
          <w:bCs/>
          <w:sz w:val="24"/>
        </w:rPr>
      </w:pPr>
      <w:r>
        <w:rPr>
          <w:rFonts w:hint="eastAsia" w:ascii="宋体" w:hAnsi="宋体" w:cs="宋体"/>
          <w:b/>
          <w:bCs/>
          <w:sz w:val="24"/>
        </w:rPr>
        <w:t>一、项目编号：1173250630002</w:t>
      </w:r>
      <w:bookmarkStart w:id="162" w:name="_GoBack"/>
      <w:bookmarkEnd w:id="162"/>
    </w:p>
    <w:p w14:paraId="645C73D9">
      <w:pPr>
        <w:spacing w:line="401" w:lineRule="auto"/>
        <w:ind w:firstLine="482" w:firstLineChars="200"/>
        <w:jc w:val="left"/>
        <w:rPr>
          <w:rFonts w:ascii="宋体" w:hAnsi="宋体" w:cs="宋体"/>
          <w:b/>
          <w:sz w:val="24"/>
        </w:rPr>
      </w:pPr>
      <w:r>
        <w:rPr>
          <w:rFonts w:hint="eastAsia" w:ascii="宋体" w:hAnsi="宋体" w:cs="宋体"/>
          <w:b/>
          <w:bCs/>
          <w:sz w:val="24"/>
        </w:rPr>
        <w:t>二、项目名称：</w:t>
      </w:r>
      <w:r>
        <w:rPr>
          <w:rFonts w:hint="eastAsia" w:ascii="宋体" w:hAnsi="宋体" w:cs="宋体"/>
          <w:bCs/>
          <w:sz w:val="24"/>
        </w:rPr>
        <w:t>山东</w:t>
      </w:r>
      <w:r>
        <w:rPr>
          <w:rFonts w:hint="eastAsia" w:ascii="宋体" w:hAnsi="宋体" w:cs="宋体"/>
          <w:sz w:val="24"/>
        </w:rPr>
        <w:t>济钢环保新材料有限公司济南市章丘区官庄弓角湾村南建筑石料用灰岩东矿区安全验收评价。</w:t>
      </w:r>
    </w:p>
    <w:p w14:paraId="3D7FF26E">
      <w:pPr>
        <w:spacing w:line="401" w:lineRule="auto"/>
        <w:ind w:firstLine="482" w:firstLineChars="200"/>
        <w:jc w:val="left"/>
        <w:rPr>
          <w:rFonts w:ascii="宋体" w:hAnsi="宋体" w:cs="宋体"/>
          <w:b/>
          <w:bCs/>
          <w:sz w:val="24"/>
        </w:rPr>
      </w:pPr>
      <w:r>
        <w:rPr>
          <w:rFonts w:hint="eastAsia" w:ascii="宋体" w:hAnsi="宋体" w:cs="宋体"/>
          <w:b/>
          <w:bCs/>
          <w:sz w:val="24"/>
        </w:rPr>
        <w:t>三、项目概况：</w:t>
      </w:r>
    </w:p>
    <w:p w14:paraId="62CAA152">
      <w:pPr>
        <w:spacing w:line="400" w:lineRule="auto"/>
        <w:ind w:firstLine="360" w:firstLineChars="150"/>
        <w:jc w:val="left"/>
        <w:rPr>
          <w:rFonts w:ascii="宋体" w:hAnsi="宋体" w:cs="宋体"/>
          <w:sz w:val="24"/>
        </w:rPr>
      </w:pPr>
      <w:r>
        <w:rPr>
          <w:rFonts w:hint="eastAsia" w:ascii="宋体" w:hAnsi="宋体" w:cs="宋体"/>
          <w:sz w:val="24"/>
        </w:rPr>
        <w:t>1、项目基本情况：</w:t>
      </w:r>
    </w:p>
    <w:p w14:paraId="192349D7">
      <w:pPr>
        <w:spacing w:line="400" w:lineRule="auto"/>
        <w:ind w:firstLine="360" w:firstLineChars="150"/>
        <w:jc w:val="left"/>
        <w:rPr>
          <w:rFonts w:ascii="宋体" w:hAnsi="宋体" w:cs="宋体"/>
          <w:sz w:val="24"/>
        </w:rPr>
      </w:pPr>
      <w:r>
        <w:rPr>
          <w:rFonts w:hint="eastAsia" w:ascii="宋体" w:hAnsi="宋体" w:cs="宋体"/>
          <w:sz w:val="24"/>
        </w:rPr>
        <w:t>项目位于章丘区官庄街道原弓角湾村南1.7km处，采矿权面积 0.62km²，开采标高+260m至+432m，查明资源量3257.7万m³，设计利用资源量3130.65万m³，设计采出资源量3036.73万m³，设计服务年限20.2年（不含18个月基建期），设计产能150万m</w:t>
      </w:r>
      <w:r>
        <w:rPr>
          <w:rFonts w:hint="eastAsia" w:ascii="宋体" w:hAnsi="宋体" w:cs="宋体"/>
          <w:sz w:val="24"/>
          <w:vertAlign w:val="superscript"/>
        </w:rPr>
        <w:t>3</w:t>
      </w:r>
      <w:r>
        <w:rPr>
          <w:rFonts w:hint="eastAsia" w:ascii="宋体" w:hAnsi="宋体" w:cs="宋体"/>
          <w:sz w:val="24"/>
        </w:rPr>
        <w:t>/年。</w:t>
      </w:r>
    </w:p>
    <w:p w14:paraId="4565F82C">
      <w:pPr>
        <w:spacing w:line="400" w:lineRule="auto"/>
        <w:ind w:firstLine="360" w:firstLineChars="150"/>
        <w:jc w:val="left"/>
        <w:rPr>
          <w:rFonts w:ascii="宋体" w:hAnsi="宋体" w:cs="宋体"/>
          <w:sz w:val="24"/>
        </w:rPr>
      </w:pPr>
      <w:r>
        <w:rPr>
          <w:rFonts w:hint="eastAsia" w:ascii="宋体" w:hAnsi="宋体" w:cs="宋体"/>
          <w:sz w:val="24"/>
        </w:rPr>
        <w:t>2、采购内容及服务期限：</w:t>
      </w:r>
    </w:p>
    <w:p w14:paraId="50A871E6">
      <w:pPr>
        <w:spacing w:line="400" w:lineRule="auto"/>
        <w:ind w:firstLine="360" w:firstLineChars="150"/>
        <w:jc w:val="left"/>
        <w:rPr>
          <w:rFonts w:ascii="宋体" w:hAnsi="宋体" w:cs="宋体"/>
          <w:sz w:val="24"/>
        </w:rPr>
      </w:pPr>
      <w:r>
        <w:rPr>
          <w:rFonts w:hint="eastAsia" w:ascii="宋体" w:hAnsi="宋体" w:cs="宋体"/>
          <w:sz w:val="24"/>
        </w:rPr>
        <w:t>采购内容：</w:t>
      </w:r>
      <w:r>
        <w:rPr>
          <w:rFonts w:hint="eastAsia" w:ascii="宋体" w:hAnsi="宋体" w:cs="宋体"/>
          <w:bCs/>
          <w:sz w:val="24"/>
        </w:rPr>
        <w:t>山东</w:t>
      </w:r>
      <w:r>
        <w:rPr>
          <w:rFonts w:hint="eastAsia" w:ascii="宋体" w:hAnsi="宋体" w:cs="宋体"/>
          <w:sz w:val="24"/>
        </w:rPr>
        <w:t>济钢环保新材料有限公司济南市章丘区官庄弓角湾村南建筑石料用灰岩东矿区现场打点及现状图测绘、编制安全验收评价报告及安全设施现场评审、竣工图纸编制及打印、安全生产许可申报及现场审查等内容。</w:t>
      </w:r>
    </w:p>
    <w:p w14:paraId="72DD3BCC">
      <w:pPr>
        <w:spacing w:line="400" w:lineRule="auto"/>
        <w:ind w:firstLine="360" w:firstLineChars="150"/>
        <w:jc w:val="left"/>
        <w:rPr>
          <w:rFonts w:ascii="宋体" w:hAnsi="宋体" w:cs="宋体"/>
          <w:sz w:val="24"/>
        </w:rPr>
      </w:pPr>
      <w:r>
        <w:rPr>
          <w:rFonts w:hint="eastAsia" w:ascii="宋体" w:hAnsi="宋体" w:cs="宋体"/>
          <w:sz w:val="24"/>
        </w:rPr>
        <w:t>服务期限：自合同生效之日起至取得安全生产许可证。</w:t>
      </w:r>
    </w:p>
    <w:p w14:paraId="43E064F1">
      <w:pPr>
        <w:spacing w:line="400" w:lineRule="auto"/>
        <w:ind w:firstLine="360" w:firstLineChars="150"/>
        <w:jc w:val="left"/>
        <w:rPr>
          <w:rFonts w:ascii="宋体" w:hAnsi="宋体" w:cs="宋体"/>
          <w:sz w:val="24"/>
        </w:rPr>
      </w:pPr>
      <w:r>
        <w:rPr>
          <w:rFonts w:hint="eastAsia" w:ascii="宋体" w:hAnsi="宋体" w:cs="宋体"/>
          <w:sz w:val="24"/>
        </w:rPr>
        <w:t>结算方式：</w:t>
      </w:r>
      <w:r>
        <w:rPr>
          <w:rFonts w:hint="eastAsia" w:ascii="宋体" w:hAnsi="宋体" w:cs="宋体"/>
          <w:bCs/>
          <w:sz w:val="24"/>
        </w:rPr>
        <w:t>供需双方签订服务合同</w:t>
      </w:r>
      <w:r>
        <w:rPr>
          <w:rFonts w:hint="eastAsia" w:ascii="宋体" w:hAnsi="宋体" w:cs="宋体"/>
          <w:sz w:val="24"/>
        </w:rPr>
        <w:t>，需方通过安全设施竣工验收并取得《安全生产许可证》以后，一次性支付，付款前供方向需方开具全额增值税专用发票（税率6%），需方以电汇方式支付。</w:t>
      </w:r>
    </w:p>
    <w:p w14:paraId="7C7AB916">
      <w:pPr>
        <w:spacing w:line="400" w:lineRule="auto"/>
        <w:ind w:firstLine="360" w:firstLineChars="150"/>
        <w:jc w:val="left"/>
        <w:rPr>
          <w:rFonts w:ascii="宋体" w:hAnsi="宋体" w:cs="宋体"/>
          <w:sz w:val="24"/>
        </w:rPr>
      </w:pPr>
      <w:r>
        <w:rPr>
          <w:rFonts w:hint="eastAsia" w:ascii="宋体" w:hAnsi="宋体" w:cs="宋体"/>
          <w:sz w:val="24"/>
        </w:rPr>
        <w:t>3、规范要求：</w:t>
      </w:r>
    </w:p>
    <w:p w14:paraId="0305493B">
      <w:pPr>
        <w:spacing w:line="400" w:lineRule="auto"/>
        <w:ind w:firstLine="360" w:firstLineChars="150"/>
        <w:jc w:val="left"/>
        <w:rPr>
          <w:rFonts w:ascii="宋体" w:hAnsi="宋体" w:cs="宋体"/>
          <w:sz w:val="24"/>
        </w:rPr>
      </w:pPr>
      <w:r>
        <w:rPr>
          <w:rFonts w:hint="eastAsia" w:ascii="宋体" w:hAnsi="宋体" w:cs="宋体"/>
          <w:sz w:val="24"/>
        </w:rPr>
        <w:t>（1）符合国家、地方现行相关质量评定标准和技术规范。</w:t>
      </w:r>
    </w:p>
    <w:p w14:paraId="4DCAA468">
      <w:pPr>
        <w:spacing w:line="400" w:lineRule="auto"/>
        <w:ind w:firstLine="360" w:firstLineChars="150"/>
        <w:jc w:val="left"/>
        <w:rPr>
          <w:rFonts w:ascii="宋体" w:hAnsi="宋体" w:cs="宋体"/>
          <w:sz w:val="24"/>
        </w:rPr>
      </w:pPr>
      <w:r>
        <w:rPr>
          <w:rFonts w:hint="eastAsia" w:ascii="宋体" w:hAnsi="宋体" w:cs="宋体"/>
          <w:sz w:val="24"/>
        </w:rPr>
        <w:t>（2）符合相关文件及法律法规要求。</w:t>
      </w:r>
    </w:p>
    <w:p w14:paraId="441C9C43">
      <w:pPr>
        <w:spacing w:line="400" w:lineRule="auto"/>
        <w:ind w:firstLine="360" w:firstLineChars="150"/>
        <w:jc w:val="left"/>
        <w:rPr>
          <w:rFonts w:ascii="宋体" w:hAnsi="宋体" w:cs="宋体"/>
          <w:sz w:val="24"/>
        </w:rPr>
      </w:pPr>
      <w:r>
        <w:rPr>
          <w:rFonts w:hint="eastAsia" w:ascii="宋体" w:hAnsi="宋体" w:cs="宋体"/>
          <w:sz w:val="24"/>
        </w:rPr>
        <w:t>（3）报告内容力求完整，重点突出。</w:t>
      </w:r>
    </w:p>
    <w:p w14:paraId="2F077685">
      <w:pPr>
        <w:spacing w:line="400" w:lineRule="auto"/>
        <w:ind w:firstLine="482" w:firstLineChars="200"/>
        <w:jc w:val="left"/>
        <w:rPr>
          <w:rFonts w:ascii="宋体" w:hAnsi="宋体" w:cs="宋体"/>
          <w:b/>
          <w:sz w:val="24"/>
        </w:rPr>
      </w:pPr>
      <w:r>
        <w:rPr>
          <w:rFonts w:hint="eastAsia" w:ascii="宋体" w:hAnsi="宋体" w:cs="宋体"/>
          <w:b/>
          <w:sz w:val="24"/>
        </w:rPr>
        <w:t>四、供应商资格要求：</w:t>
      </w:r>
    </w:p>
    <w:p w14:paraId="40432A5E">
      <w:pPr>
        <w:spacing w:line="360" w:lineRule="auto"/>
        <w:ind w:firstLine="480" w:firstLineChars="200"/>
        <w:rPr>
          <w:sz w:val="24"/>
        </w:rPr>
      </w:pPr>
      <w:r>
        <w:rPr>
          <w:sz w:val="24"/>
        </w:rPr>
        <w:t>1</w:t>
      </w:r>
      <w:r>
        <w:rPr>
          <w:rFonts w:hint="eastAsia"/>
          <w:sz w:val="24"/>
        </w:rPr>
        <w:t>、依法成立，具有独立法人资格；</w:t>
      </w:r>
    </w:p>
    <w:p w14:paraId="68941E1B">
      <w:pPr>
        <w:spacing w:line="360" w:lineRule="auto"/>
        <w:ind w:firstLine="480" w:firstLineChars="200"/>
        <w:rPr>
          <w:sz w:val="24"/>
        </w:rPr>
      </w:pPr>
      <w:r>
        <w:rPr>
          <w:rFonts w:hint="eastAsia"/>
          <w:sz w:val="24"/>
        </w:rPr>
        <w:t>2、具有履行合同必需的设备、专业技术人员（安全、采矿、地质、电气、机械专职安全评价师），需要提供专业技术人员资格证书（复印件）；</w:t>
      </w:r>
    </w:p>
    <w:p w14:paraId="25495638">
      <w:pPr>
        <w:spacing w:line="360" w:lineRule="auto"/>
        <w:ind w:firstLine="480" w:firstLineChars="200"/>
        <w:rPr>
          <w:sz w:val="24"/>
        </w:rPr>
      </w:pPr>
      <w:r>
        <w:rPr>
          <w:rFonts w:hint="eastAsia"/>
          <w:sz w:val="24"/>
        </w:rPr>
        <w:t>3、具有金属非金属矿山安全评价资质，提供近三年内3个及以上类似服务业绩，需要提供合同及发票等相关证明材料（扫描件）；</w:t>
      </w:r>
    </w:p>
    <w:p w14:paraId="13A1A8C4">
      <w:pPr>
        <w:spacing w:line="360" w:lineRule="auto"/>
        <w:ind w:firstLine="480" w:firstLineChars="200"/>
        <w:rPr>
          <w:rFonts w:hint="eastAsia" w:eastAsia="宋体" w:cs="Times New Roman"/>
          <w:sz w:val="24"/>
        </w:rPr>
      </w:pPr>
      <w:r>
        <w:rPr>
          <w:rFonts w:hint="eastAsia"/>
          <w:sz w:val="24"/>
        </w:rPr>
        <w:t>4、</w:t>
      </w:r>
      <w:r>
        <w:rPr>
          <w:rFonts w:hint="eastAsia" w:eastAsia="宋体" w:cs="Times New Roman"/>
          <w:sz w:val="24"/>
        </w:rPr>
        <w:t>具有良好的企业信誉</w:t>
      </w:r>
      <w:r>
        <w:rPr>
          <w:rFonts w:hint="eastAsia" w:eastAsia="宋体" w:cs="Times New Roman"/>
          <w:sz w:val="24"/>
          <w:lang w:val="en-US" w:eastAsia="zh-CN"/>
        </w:rPr>
        <w:t>和</w:t>
      </w:r>
      <w:r>
        <w:rPr>
          <w:rFonts w:hint="eastAsia" w:eastAsia="宋体" w:cs="Times New Roman"/>
          <w:sz w:val="24"/>
        </w:rPr>
        <w:t>健全的财务会计制度，</w:t>
      </w:r>
      <w:r>
        <w:rPr>
          <w:rFonts w:hint="eastAsia" w:eastAsia="宋体" w:cs="Times New Roman"/>
          <w:sz w:val="24"/>
          <w:lang w:val="en-US" w:eastAsia="zh-CN"/>
        </w:rPr>
        <w:t>提供</w:t>
      </w:r>
      <w:r>
        <w:rPr>
          <w:rFonts w:hint="eastAsia" w:eastAsia="宋体" w:cs="Times New Roman"/>
          <w:sz w:val="24"/>
        </w:rPr>
        <w:t>财务</w:t>
      </w:r>
      <w:r>
        <w:rPr>
          <w:rFonts w:hint="eastAsia" w:eastAsia="宋体" w:cs="Times New Roman"/>
          <w:sz w:val="24"/>
          <w:lang w:val="en-US" w:eastAsia="zh-CN"/>
        </w:rPr>
        <w:t>报表或者财务</w:t>
      </w:r>
      <w:r>
        <w:rPr>
          <w:rFonts w:hint="eastAsia" w:eastAsia="宋体" w:cs="Times New Roman"/>
          <w:sz w:val="24"/>
        </w:rPr>
        <w:t>审计报告，可以通过扫描防伪二维码在注册会计师行业统一监管平台查询(http://acc.mof.gov.cn)；</w:t>
      </w:r>
    </w:p>
    <w:p w14:paraId="69236698">
      <w:pPr>
        <w:spacing w:line="360" w:lineRule="auto"/>
        <w:ind w:firstLine="480" w:firstLineChars="200"/>
        <w:rPr>
          <w:sz w:val="24"/>
        </w:rPr>
      </w:pPr>
      <w:r>
        <w:rPr>
          <w:rFonts w:hint="eastAsia"/>
          <w:sz w:val="24"/>
        </w:rPr>
        <w:t>5、在本次谈判前三年（2022-2024年）内，应无下列不良记录：被行业主管部门通报整改、被责令停业、被暂停或取消</w:t>
      </w:r>
      <w:r>
        <w:rPr>
          <w:rFonts w:hint="eastAsia"/>
          <w:sz w:val="24"/>
          <w:lang w:val="en-US" w:eastAsia="zh-CN"/>
        </w:rPr>
        <w:t>其</w:t>
      </w:r>
      <w:r>
        <w:rPr>
          <w:rFonts w:hint="eastAsia"/>
          <w:sz w:val="24"/>
        </w:rPr>
        <w:t>资格、财产被接管或冻结、在经营活动中有重大违法违规行为；</w:t>
      </w:r>
    </w:p>
    <w:p w14:paraId="5451AAF3">
      <w:pPr>
        <w:spacing w:line="360" w:lineRule="auto"/>
        <w:ind w:firstLine="480" w:firstLineChars="200"/>
        <w:rPr>
          <w:sz w:val="24"/>
        </w:rPr>
      </w:pPr>
      <w:r>
        <w:rPr>
          <w:rFonts w:hint="eastAsia"/>
          <w:sz w:val="24"/>
        </w:rPr>
        <w:t>6、本项目不接受联合体谈判；</w:t>
      </w:r>
    </w:p>
    <w:p w14:paraId="2F0AFC08">
      <w:pPr>
        <w:spacing w:line="360" w:lineRule="auto"/>
        <w:ind w:firstLine="480" w:firstLineChars="200"/>
        <w:rPr>
          <w:sz w:val="24"/>
        </w:rPr>
      </w:pPr>
      <w:r>
        <w:rPr>
          <w:rFonts w:hint="eastAsia"/>
          <w:sz w:val="24"/>
        </w:rPr>
        <w:t>7、须遵守中华人民共和国有关法律、法规，无重大违法违约行为。通过“信用中国”网站（www.creditchina.gov.cn）、中国政府招标网（www.ccgp.gov.cn）查询，未被列入失信被执行人、重大税收违法案件当事人、政府招标严重违法失信行为记录名单，提供查询截屏。</w:t>
      </w:r>
    </w:p>
    <w:p w14:paraId="3B8AE3E1">
      <w:pPr>
        <w:spacing w:line="400" w:lineRule="auto"/>
        <w:ind w:firstLine="482" w:firstLineChars="200"/>
        <w:jc w:val="left"/>
        <w:rPr>
          <w:rFonts w:ascii="宋体" w:hAnsi="宋体" w:cs="宋体"/>
          <w:b/>
          <w:bCs/>
          <w:sz w:val="24"/>
        </w:rPr>
      </w:pPr>
      <w:r>
        <w:rPr>
          <w:rFonts w:hint="eastAsia" w:ascii="宋体" w:hAnsi="宋体" w:cs="宋体"/>
          <w:b/>
          <w:bCs/>
          <w:sz w:val="24"/>
        </w:rPr>
        <w:t>五、报名</w:t>
      </w:r>
    </w:p>
    <w:p w14:paraId="5F271374">
      <w:pPr>
        <w:spacing w:line="400" w:lineRule="auto"/>
        <w:ind w:firstLine="480" w:firstLineChars="200"/>
        <w:jc w:val="left"/>
        <w:rPr>
          <w:rFonts w:ascii="宋体" w:hAnsi="宋体" w:cs="宋体"/>
          <w:sz w:val="24"/>
        </w:rPr>
      </w:pPr>
      <w:r>
        <w:rPr>
          <w:rFonts w:hint="eastAsia" w:ascii="宋体" w:hAnsi="宋体" w:cs="宋体"/>
          <w:sz w:val="24"/>
        </w:rPr>
        <w:t>1、报名方式：通过登录济钢集团有限公司阳光购销平台网上报名，平台网址：</w:t>
      </w:r>
      <w:r>
        <w:rPr>
          <w:rFonts w:hint="eastAsia"/>
        </w:rPr>
        <w:fldChar w:fldCharType="begin"/>
      </w:r>
      <w:r>
        <w:instrText xml:space="preserve"> HYPERLINK "http://bidding.jigang.com.cn" </w:instrText>
      </w:r>
      <w:r>
        <w:rPr>
          <w:rFonts w:hint="eastAsia"/>
        </w:rPr>
        <w:fldChar w:fldCharType="separate"/>
      </w:r>
      <w:r>
        <w:rPr>
          <w:rFonts w:hint="eastAsia" w:ascii="宋体" w:hAnsi="宋体" w:cs="宋体"/>
          <w:sz w:val="24"/>
        </w:rPr>
        <w:t>http://bidding.jigang.com.cn</w:t>
      </w:r>
      <w:r>
        <w:rPr>
          <w:rFonts w:hint="eastAsia" w:ascii="宋体" w:hAnsi="宋体" w:cs="宋体"/>
          <w:sz w:val="24"/>
        </w:rPr>
        <w:fldChar w:fldCharType="end"/>
      </w:r>
      <w:r>
        <w:rPr>
          <w:rFonts w:hint="eastAsia" w:ascii="宋体" w:hAnsi="宋体" w:cs="宋体"/>
          <w:sz w:val="24"/>
        </w:rPr>
        <w:t xml:space="preserve">/； </w:t>
      </w:r>
    </w:p>
    <w:p w14:paraId="4797F6D8">
      <w:pPr>
        <w:spacing w:line="400" w:lineRule="auto"/>
        <w:ind w:firstLine="480" w:firstLineChars="200"/>
        <w:jc w:val="left"/>
        <w:rPr>
          <w:rFonts w:ascii="宋体" w:hAnsi="宋体" w:cs="宋体"/>
          <w:sz w:val="24"/>
        </w:rPr>
      </w:pPr>
      <w:r>
        <w:rPr>
          <w:rFonts w:hint="eastAsia" w:ascii="宋体" w:hAnsi="宋体" w:cs="宋体"/>
          <w:sz w:val="24"/>
        </w:rPr>
        <w:t>2、公告和报名时间：2025年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日（北京时间）。</w:t>
      </w:r>
    </w:p>
    <w:p w14:paraId="2F56FA6E">
      <w:pPr>
        <w:spacing w:line="400" w:lineRule="auto"/>
        <w:ind w:firstLine="482" w:firstLineChars="200"/>
        <w:jc w:val="left"/>
        <w:rPr>
          <w:rFonts w:ascii="宋体" w:hAnsi="宋体" w:cs="宋体"/>
          <w:b/>
          <w:bCs/>
          <w:sz w:val="24"/>
        </w:rPr>
      </w:pPr>
      <w:r>
        <w:rPr>
          <w:rFonts w:hint="eastAsia" w:ascii="宋体" w:hAnsi="宋体" w:cs="宋体"/>
          <w:b/>
          <w:bCs/>
          <w:sz w:val="24"/>
        </w:rPr>
        <w:t>六、谈判时间和方式</w:t>
      </w:r>
    </w:p>
    <w:p w14:paraId="4584650C">
      <w:pPr>
        <w:spacing w:line="400" w:lineRule="auto"/>
        <w:ind w:firstLine="480" w:firstLineChars="200"/>
        <w:jc w:val="left"/>
        <w:rPr>
          <w:rFonts w:ascii="宋体" w:hAnsi="宋体" w:cs="宋体"/>
          <w:sz w:val="24"/>
          <w:highlight w:val="yellow"/>
        </w:rPr>
      </w:pPr>
      <w:r>
        <w:rPr>
          <w:rFonts w:hint="eastAsia" w:ascii="宋体" w:hAnsi="宋体" w:cs="宋体"/>
          <w:sz w:val="24"/>
        </w:rPr>
        <w:t>1、谈判时间：2025年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w:t>
      </w:r>
      <w:r>
        <w:rPr>
          <w:rFonts w:hint="eastAsia" w:ascii="宋体" w:hAnsi="宋体" w:cs="宋体"/>
          <w:sz w:val="24"/>
          <w:lang w:val="en-US" w:eastAsia="zh-CN"/>
        </w:rPr>
        <w:t>上午9:00</w:t>
      </w:r>
      <w:r>
        <w:rPr>
          <w:rFonts w:hint="eastAsia" w:ascii="宋体" w:hAnsi="宋体" w:cs="宋体"/>
          <w:sz w:val="24"/>
        </w:rPr>
        <w:t>；</w:t>
      </w:r>
    </w:p>
    <w:p w14:paraId="20600637">
      <w:pPr>
        <w:spacing w:line="400" w:lineRule="auto"/>
        <w:ind w:firstLine="480" w:firstLineChars="200"/>
        <w:jc w:val="left"/>
        <w:rPr>
          <w:rFonts w:ascii="宋体" w:hAnsi="宋体" w:cs="宋体"/>
          <w:sz w:val="24"/>
        </w:rPr>
      </w:pPr>
      <w:r>
        <w:rPr>
          <w:rFonts w:hint="eastAsia" w:ascii="宋体" w:hAnsi="宋体" w:cs="宋体"/>
          <w:sz w:val="24"/>
        </w:rPr>
        <w:t>2、谈判方式：网上谈判，谈判时无需供应商到达现场。</w:t>
      </w:r>
    </w:p>
    <w:p w14:paraId="600E9991">
      <w:pPr>
        <w:spacing w:line="400" w:lineRule="auto"/>
        <w:ind w:left="239" w:leftChars="114" w:firstLine="241" w:firstLineChars="100"/>
        <w:jc w:val="left"/>
        <w:rPr>
          <w:rFonts w:ascii="宋体" w:hAnsi="宋体" w:cs="宋体"/>
          <w:sz w:val="24"/>
        </w:rPr>
      </w:pPr>
      <w:r>
        <w:rPr>
          <w:rFonts w:hint="eastAsia" w:ascii="宋体" w:hAnsi="宋体" w:cs="宋体"/>
          <w:b/>
          <w:bCs/>
          <w:sz w:val="24"/>
        </w:rPr>
        <w:t>七、谈判保证金：</w:t>
      </w:r>
      <w:r>
        <w:rPr>
          <w:rFonts w:hint="eastAsia" w:ascii="宋体" w:hAnsi="宋体" w:cs="宋体"/>
          <w:sz w:val="24"/>
        </w:rPr>
        <w:t>肆仟元整（￥4000）（汇款时备注</w:t>
      </w:r>
      <w:r>
        <w:rPr>
          <w:rFonts w:hint="eastAsia" w:ascii="宋体" w:hAnsi="宋体" w:cs="宋体"/>
          <w:sz w:val="24"/>
          <w:lang w:val="en-US" w:eastAsia="zh-CN"/>
        </w:rPr>
        <w:t>采购</w:t>
      </w:r>
      <w:r>
        <w:rPr>
          <w:rFonts w:hint="eastAsia" w:ascii="宋体" w:hAnsi="宋体" w:cs="宋体"/>
          <w:sz w:val="24"/>
        </w:rPr>
        <w:t>名称），该保证金在2025年</w:t>
      </w:r>
      <w:r>
        <w:rPr>
          <w:rFonts w:hint="eastAsia" w:ascii="宋体" w:hAnsi="宋体" w:cs="宋体"/>
          <w:sz w:val="24"/>
          <w:lang w:val="en-US" w:eastAsia="zh-CN"/>
        </w:rPr>
        <w:t>7</w:t>
      </w:r>
      <w:r>
        <w:rPr>
          <w:rFonts w:hint="eastAsia" w:ascii="宋体" w:hAnsi="宋体" w:cs="宋体"/>
          <w:sz w:val="24"/>
        </w:rPr>
        <w:t xml:space="preserve">月 </w:t>
      </w:r>
      <w:r>
        <w:rPr>
          <w:rFonts w:hint="eastAsia" w:ascii="宋体" w:hAnsi="宋体" w:cs="宋体"/>
          <w:sz w:val="24"/>
          <w:lang w:val="en-US" w:eastAsia="zh-CN"/>
        </w:rPr>
        <w:t>4</w:t>
      </w:r>
      <w:r>
        <w:rPr>
          <w:rFonts w:hint="eastAsia" w:ascii="宋体" w:hAnsi="宋体" w:cs="宋体"/>
          <w:sz w:val="24"/>
        </w:rPr>
        <w:t>日前交纳。</w:t>
      </w:r>
      <w:r>
        <w:rPr>
          <w:rFonts w:hint="eastAsia" w:ascii="宋体" w:hAnsi="宋体" w:cs="宋体"/>
          <w:sz w:val="24"/>
          <w:lang w:val="en-US" w:eastAsia="zh-CN"/>
        </w:rPr>
        <w:t>评审</w:t>
      </w:r>
      <w:r>
        <w:rPr>
          <w:rFonts w:hint="eastAsia" w:ascii="宋体" w:hAnsi="宋体" w:cs="宋体"/>
          <w:sz w:val="24"/>
        </w:rPr>
        <w:t>结束30个工作日内，采购人将该保证金退还原汇款账户。</w:t>
      </w:r>
    </w:p>
    <w:p w14:paraId="00C943F4">
      <w:pPr>
        <w:spacing w:line="360" w:lineRule="auto"/>
        <w:ind w:firstLine="1200" w:firstLineChars="500"/>
        <w:rPr>
          <w:rFonts w:ascii="宋体" w:hAnsi="宋体" w:cs="宋体"/>
          <w:sz w:val="24"/>
        </w:rPr>
      </w:pPr>
      <w:r>
        <w:rPr>
          <w:rFonts w:hint="eastAsia" w:ascii="宋体" w:hAnsi="宋体" w:cs="宋体"/>
          <w:sz w:val="24"/>
        </w:rPr>
        <w:t>收款账户：山东济钢环保新材料有限公司</w:t>
      </w:r>
    </w:p>
    <w:p w14:paraId="29D91769">
      <w:pPr>
        <w:spacing w:line="360" w:lineRule="auto"/>
        <w:ind w:firstLine="1200" w:firstLineChars="500"/>
        <w:rPr>
          <w:rFonts w:ascii="宋体" w:hAnsi="宋体" w:cs="宋体"/>
          <w:sz w:val="24"/>
        </w:rPr>
      </w:pPr>
      <w:r>
        <w:rPr>
          <w:rFonts w:hint="eastAsia" w:ascii="宋体" w:hAnsi="宋体" w:cs="宋体"/>
          <w:sz w:val="24"/>
        </w:rPr>
        <w:t>开户行：齐鲁银行股份有限公司济南济钢支行</w:t>
      </w:r>
    </w:p>
    <w:p w14:paraId="6B246837">
      <w:pPr>
        <w:spacing w:line="360" w:lineRule="auto"/>
        <w:ind w:firstLine="1200" w:firstLineChars="500"/>
        <w:rPr>
          <w:rFonts w:ascii="宋体" w:hAnsi="宋体" w:cs="宋体"/>
          <w:sz w:val="24"/>
        </w:rPr>
      </w:pPr>
      <w:r>
        <w:rPr>
          <w:rFonts w:hint="eastAsia" w:ascii="宋体" w:hAnsi="宋体" w:cs="宋体"/>
          <w:sz w:val="24"/>
        </w:rPr>
        <w:t>账号：8661 1760 1014 2100 9407</w:t>
      </w:r>
    </w:p>
    <w:p w14:paraId="67CFCF5D">
      <w:pPr>
        <w:spacing w:line="360" w:lineRule="auto"/>
        <w:ind w:firstLine="1200" w:firstLineChars="500"/>
        <w:rPr>
          <w:rFonts w:ascii="宋体" w:hAnsi="宋体" w:cs="宋体"/>
          <w:sz w:val="24"/>
        </w:rPr>
      </w:pPr>
      <w:r>
        <w:rPr>
          <w:rFonts w:hint="eastAsia" w:ascii="宋体" w:hAnsi="宋体" w:cs="宋体"/>
          <w:sz w:val="24"/>
        </w:rPr>
        <w:t>行号：313451007609</w:t>
      </w:r>
    </w:p>
    <w:p w14:paraId="1001FD43">
      <w:pPr>
        <w:spacing w:line="400" w:lineRule="auto"/>
        <w:ind w:firstLine="482" w:firstLineChars="200"/>
        <w:jc w:val="left"/>
        <w:rPr>
          <w:rFonts w:ascii="宋体" w:hAnsi="宋体" w:cs="宋体"/>
          <w:b/>
          <w:bCs/>
          <w:sz w:val="24"/>
        </w:rPr>
      </w:pPr>
      <w:r>
        <w:rPr>
          <w:rFonts w:hint="eastAsia" w:ascii="宋体" w:hAnsi="宋体" w:cs="宋体"/>
          <w:b/>
          <w:bCs/>
          <w:sz w:val="24"/>
        </w:rPr>
        <w:t>八、谈判文件的获取方式</w:t>
      </w:r>
    </w:p>
    <w:p w14:paraId="37024A32">
      <w:pPr>
        <w:spacing w:line="400" w:lineRule="auto"/>
        <w:ind w:firstLine="480" w:firstLineChars="200"/>
        <w:jc w:val="left"/>
        <w:rPr>
          <w:rFonts w:ascii="宋体" w:hAnsi="宋体" w:cs="宋体"/>
          <w:sz w:val="24"/>
        </w:rPr>
      </w:pPr>
      <w:r>
        <w:rPr>
          <w:rFonts w:hint="eastAsia" w:ascii="宋体" w:hAnsi="宋体" w:cs="宋体"/>
          <w:sz w:val="24"/>
        </w:rPr>
        <w:t>1、获取方式：凡有意参加的潜在供应商，在公告期内登陆：济钢集团有限公司阳光购销平台</w:t>
      </w:r>
      <w:r>
        <w:rPr>
          <w:rFonts w:hint="eastAsia"/>
        </w:rPr>
        <w:fldChar w:fldCharType="begin"/>
      </w:r>
      <w:r>
        <w:instrText xml:space="preserve"> HYPERLINK "http://bidding.jigang.com.cn" </w:instrText>
      </w:r>
      <w:r>
        <w:rPr>
          <w:rFonts w:hint="eastAsia"/>
        </w:rPr>
        <w:fldChar w:fldCharType="separate"/>
      </w:r>
      <w:r>
        <w:rPr>
          <w:rFonts w:hint="eastAsia" w:ascii="宋体" w:hAnsi="宋体" w:cs="宋体"/>
          <w:sz w:val="24"/>
        </w:rPr>
        <w:t>http://bidding.jigang.com.cn</w:t>
      </w:r>
      <w:r>
        <w:rPr>
          <w:rFonts w:hint="eastAsia" w:ascii="宋体" w:hAnsi="宋体" w:cs="宋体"/>
          <w:sz w:val="24"/>
        </w:rPr>
        <w:fldChar w:fldCharType="end"/>
      </w:r>
      <w:r>
        <w:rPr>
          <w:rFonts w:hint="eastAsia" w:ascii="宋体" w:hAnsi="宋体" w:cs="宋体"/>
          <w:sz w:val="24"/>
        </w:rPr>
        <w:t xml:space="preserve">/ ，注册用户成功后，须修改初始密码，重新登录后报名，报名成功后即可下载谈判文件。 </w:t>
      </w:r>
    </w:p>
    <w:p w14:paraId="0823EB56">
      <w:pPr>
        <w:spacing w:line="400" w:lineRule="auto"/>
        <w:ind w:firstLine="482" w:firstLineChars="200"/>
        <w:jc w:val="left"/>
        <w:rPr>
          <w:rFonts w:ascii="宋体" w:hAnsi="宋体" w:cs="宋体"/>
          <w:sz w:val="24"/>
        </w:rPr>
      </w:pPr>
      <w:r>
        <w:rPr>
          <w:rFonts w:hint="eastAsia" w:ascii="宋体" w:hAnsi="宋体" w:cs="宋体"/>
          <w:b/>
          <w:sz w:val="24"/>
        </w:rPr>
        <w:t>九、资格审查方式：资格后审</w:t>
      </w:r>
    </w:p>
    <w:p w14:paraId="47BA4F18">
      <w:pPr>
        <w:spacing w:line="400" w:lineRule="auto"/>
        <w:ind w:firstLine="480" w:firstLineChars="200"/>
        <w:jc w:val="left"/>
        <w:rPr>
          <w:rFonts w:ascii="宋体" w:hAnsi="宋体" w:cs="宋体"/>
          <w:sz w:val="24"/>
        </w:rPr>
      </w:pPr>
      <w:r>
        <w:rPr>
          <w:rFonts w:hint="eastAsia" w:ascii="宋体" w:hAnsi="宋体" w:cs="宋体"/>
          <w:sz w:val="24"/>
        </w:rPr>
        <w:t>谈判时，谈判小组对参加谈判单位的资质文件进行评审。评审合格的进入谈判程序。</w:t>
      </w:r>
    </w:p>
    <w:p w14:paraId="4A8DE25A">
      <w:pPr>
        <w:spacing w:line="400" w:lineRule="auto"/>
        <w:ind w:firstLine="482" w:firstLineChars="200"/>
        <w:jc w:val="left"/>
        <w:rPr>
          <w:rFonts w:ascii="宋体" w:hAnsi="宋体" w:cs="宋体"/>
          <w:b/>
          <w:sz w:val="24"/>
        </w:rPr>
      </w:pPr>
      <w:r>
        <w:rPr>
          <w:rFonts w:hint="eastAsia" w:ascii="宋体" w:hAnsi="宋体" w:cs="宋体"/>
          <w:b/>
          <w:sz w:val="24"/>
        </w:rPr>
        <w:t>十、采购人的名称、地址和联系人</w:t>
      </w:r>
    </w:p>
    <w:p w14:paraId="330D6A2B">
      <w:pPr>
        <w:spacing w:line="400" w:lineRule="auto"/>
        <w:ind w:firstLine="480" w:firstLineChars="200"/>
        <w:jc w:val="left"/>
        <w:rPr>
          <w:rFonts w:ascii="宋体" w:hAnsi="宋体" w:cs="宋体"/>
          <w:sz w:val="24"/>
        </w:rPr>
      </w:pPr>
      <w:r>
        <w:rPr>
          <w:rFonts w:hint="eastAsia" w:ascii="宋体" w:hAnsi="宋体" w:cs="宋体"/>
          <w:sz w:val="24"/>
        </w:rPr>
        <w:t>1、采购人的名称：山东济钢环保新材料有限公司</w:t>
      </w:r>
    </w:p>
    <w:p w14:paraId="0D0D0531">
      <w:pPr>
        <w:spacing w:line="400" w:lineRule="auto"/>
        <w:ind w:firstLine="480" w:firstLineChars="200"/>
        <w:jc w:val="left"/>
        <w:rPr>
          <w:rFonts w:ascii="宋体" w:hAnsi="宋体" w:cs="宋体"/>
          <w:sz w:val="24"/>
        </w:rPr>
      </w:pPr>
      <w:r>
        <w:rPr>
          <w:rFonts w:hint="eastAsia" w:ascii="宋体" w:hAnsi="宋体" w:cs="宋体"/>
          <w:sz w:val="24"/>
        </w:rPr>
        <w:t>2、采购人的地址：山东省济南市章丘区官庄街道青野村东</w:t>
      </w:r>
    </w:p>
    <w:p w14:paraId="78B77F15">
      <w:pPr>
        <w:spacing w:line="400" w:lineRule="auto"/>
        <w:ind w:firstLine="480" w:firstLineChars="200"/>
        <w:jc w:val="left"/>
        <w:rPr>
          <w:rFonts w:ascii="宋体" w:hAnsi="宋体" w:cs="宋体"/>
          <w:sz w:val="24"/>
        </w:rPr>
      </w:pPr>
      <w:r>
        <w:rPr>
          <w:rFonts w:hint="eastAsia" w:ascii="宋体" w:hAnsi="宋体" w:cs="宋体"/>
          <w:sz w:val="24"/>
        </w:rPr>
        <w:t>3、谈判联系人：史工，联系电话：18615514537；</w:t>
      </w:r>
    </w:p>
    <w:p w14:paraId="1246BFEF">
      <w:pPr>
        <w:spacing w:line="400" w:lineRule="auto"/>
        <w:ind w:firstLine="480" w:firstLineChars="200"/>
        <w:jc w:val="left"/>
        <w:rPr>
          <w:rFonts w:ascii="宋体" w:hAnsi="宋体" w:cs="宋体"/>
          <w:sz w:val="24"/>
        </w:rPr>
      </w:pPr>
      <w:r>
        <w:rPr>
          <w:rFonts w:hint="eastAsia" w:ascii="宋体" w:hAnsi="宋体" w:cs="宋体"/>
          <w:sz w:val="24"/>
        </w:rPr>
        <w:t>4、技术联系人：林经理，联系电话：15953123377。</w:t>
      </w:r>
    </w:p>
    <w:p w14:paraId="7395AB15">
      <w:pPr>
        <w:spacing w:line="400" w:lineRule="auto"/>
        <w:ind w:firstLine="482" w:firstLineChars="200"/>
        <w:jc w:val="left"/>
        <w:rPr>
          <w:rFonts w:ascii="宋体" w:hAnsi="宋体" w:cs="宋体"/>
          <w:b/>
          <w:sz w:val="24"/>
        </w:rPr>
      </w:pPr>
      <w:r>
        <w:rPr>
          <w:rFonts w:hint="eastAsia" w:ascii="宋体" w:hAnsi="宋体" w:cs="宋体"/>
          <w:b/>
          <w:sz w:val="24"/>
        </w:rPr>
        <w:t>十一、其他要求</w:t>
      </w:r>
    </w:p>
    <w:p w14:paraId="246A77ED">
      <w:pPr>
        <w:spacing w:line="400" w:lineRule="auto"/>
        <w:ind w:firstLine="480" w:firstLineChars="200"/>
        <w:jc w:val="left"/>
        <w:rPr>
          <w:rFonts w:ascii="宋体" w:hAnsi="宋体" w:cs="宋体"/>
          <w:sz w:val="24"/>
        </w:rPr>
      </w:pPr>
      <w:r>
        <w:rPr>
          <w:rFonts w:hint="eastAsia" w:ascii="宋体" w:hAnsi="宋体" w:cs="宋体"/>
          <w:sz w:val="24"/>
        </w:rPr>
        <w:t>1、参加谈判的人员在济钢集团有限公司的一切活动，必须遵守济钢集团有限公司的安全规定。需要现场踏勘时，必须遵守安全管理规定，服从现场人员指挥。</w:t>
      </w:r>
    </w:p>
    <w:p w14:paraId="39C341B7">
      <w:pPr>
        <w:spacing w:line="400" w:lineRule="auto"/>
        <w:ind w:firstLine="480" w:firstLineChars="200"/>
        <w:jc w:val="left"/>
        <w:rPr>
          <w:rFonts w:ascii="宋体" w:hAnsi="宋体" w:cs="宋体"/>
          <w:sz w:val="24"/>
        </w:rPr>
      </w:pPr>
      <w:r>
        <w:rPr>
          <w:rFonts w:hint="eastAsia" w:ascii="宋体" w:hAnsi="宋体" w:cs="宋体"/>
          <w:sz w:val="24"/>
        </w:rPr>
        <w:t>2、请有意参加的潜在供应商每日登陆系统，用注册的用户名查找是否有澄清通知等信息，采购人不再单独通知，怠于登陆造成的后果由供应商承担。</w:t>
      </w:r>
    </w:p>
    <w:p w14:paraId="21CFEC09">
      <w:pPr>
        <w:spacing w:line="400" w:lineRule="auto"/>
        <w:ind w:firstLine="482" w:firstLineChars="200"/>
        <w:jc w:val="left"/>
        <w:rPr>
          <w:rFonts w:ascii="宋体" w:hAnsi="宋体" w:cs="宋体"/>
          <w:b/>
          <w:sz w:val="24"/>
        </w:rPr>
      </w:pPr>
      <w:r>
        <w:rPr>
          <w:rFonts w:hint="eastAsia" w:ascii="宋体" w:hAnsi="宋体" w:cs="宋体"/>
          <w:b/>
          <w:sz w:val="24"/>
        </w:rPr>
        <w:t>十二、公告中的内容和要求以最终的谈判文件为准。</w:t>
      </w:r>
    </w:p>
    <w:p w14:paraId="727FA04C">
      <w:pPr>
        <w:spacing w:line="400" w:lineRule="auto"/>
        <w:jc w:val="left"/>
        <w:rPr>
          <w:rFonts w:ascii="宋体" w:hAnsi="宋体" w:cs="宋体"/>
          <w:sz w:val="24"/>
        </w:rPr>
      </w:pPr>
    </w:p>
    <w:p w14:paraId="084B4828">
      <w:pPr>
        <w:spacing w:line="400" w:lineRule="auto"/>
        <w:jc w:val="right"/>
        <w:rPr>
          <w:rFonts w:ascii="宋体" w:hAnsi="宋体" w:cs="宋体"/>
          <w:sz w:val="24"/>
        </w:rPr>
      </w:pPr>
      <w:r>
        <w:rPr>
          <w:rFonts w:hint="eastAsia" w:ascii="宋体" w:hAnsi="宋体" w:cs="宋体"/>
          <w:sz w:val="24"/>
        </w:rPr>
        <w:t>山东济钢环保新材料有限公司</w:t>
      </w:r>
    </w:p>
    <w:p w14:paraId="285BC946">
      <w:pPr>
        <w:spacing w:line="400" w:lineRule="auto"/>
        <w:ind w:left="1000"/>
        <w:jc w:val="right"/>
        <w:rPr>
          <w:rFonts w:ascii="宋体" w:hAnsi="宋体" w:cs="宋体"/>
          <w:sz w:val="24"/>
        </w:rPr>
      </w:pPr>
      <w:r>
        <w:rPr>
          <w:rFonts w:hint="eastAsia" w:ascii="宋体" w:hAnsi="宋体" w:cs="宋体"/>
          <w:sz w:val="24"/>
        </w:rPr>
        <w:t xml:space="preserve">                             2025年6月30日</w:t>
      </w:r>
    </w:p>
    <w:p w14:paraId="189ECC35">
      <w:pPr>
        <w:spacing w:line="360" w:lineRule="auto"/>
        <w:ind w:firstLine="420" w:firstLineChars="200"/>
        <w:rPr>
          <w:szCs w:val="22"/>
        </w:rPr>
      </w:pPr>
    </w:p>
    <w:p w14:paraId="50583F6A">
      <w:pPr>
        <w:pStyle w:val="27"/>
        <w:rPr>
          <w:color w:val="auto"/>
        </w:rPr>
      </w:pPr>
    </w:p>
    <w:p w14:paraId="5C409473">
      <w:pPr>
        <w:pStyle w:val="27"/>
        <w:rPr>
          <w:color w:val="auto"/>
        </w:rPr>
      </w:pPr>
    </w:p>
    <w:p w14:paraId="05FFF103">
      <w:pPr>
        <w:pStyle w:val="27"/>
        <w:rPr>
          <w:color w:val="auto"/>
        </w:rPr>
      </w:pPr>
    </w:p>
    <w:p w14:paraId="6C01AEA5">
      <w:pPr>
        <w:pStyle w:val="27"/>
        <w:rPr>
          <w:color w:val="auto"/>
        </w:rPr>
      </w:pPr>
    </w:p>
    <w:p w14:paraId="790141A4">
      <w:pPr>
        <w:pStyle w:val="27"/>
        <w:rPr>
          <w:color w:val="auto"/>
        </w:rPr>
      </w:pPr>
    </w:p>
    <w:p w14:paraId="20C152A4">
      <w:pPr>
        <w:pStyle w:val="27"/>
        <w:rPr>
          <w:color w:val="auto"/>
        </w:rPr>
      </w:pPr>
    </w:p>
    <w:p w14:paraId="7629B5B6">
      <w:pPr>
        <w:pStyle w:val="27"/>
        <w:rPr>
          <w:color w:val="auto"/>
        </w:rPr>
      </w:pPr>
    </w:p>
    <w:p w14:paraId="40A2ED74">
      <w:pPr>
        <w:pStyle w:val="27"/>
        <w:rPr>
          <w:color w:val="auto"/>
        </w:rPr>
      </w:pPr>
    </w:p>
    <w:p w14:paraId="54CB9F1B">
      <w:pPr>
        <w:pStyle w:val="27"/>
        <w:rPr>
          <w:color w:val="auto"/>
        </w:rPr>
      </w:pPr>
    </w:p>
    <w:p w14:paraId="50AED508">
      <w:pPr>
        <w:pStyle w:val="27"/>
        <w:rPr>
          <w:color w:val="auto"/>
        </w:rPr>
      </w:pPr>
    </w:p>
    <w:p w14:paraId="0B44467A">
      <w:pPr>
        <w:pStyle w:val="9"/>
        <w:spacing w:line="360" w:lineRule="auto"/>
        <w:ind w:right="560"/>
        <w:rPr>
          <w:rFonts w:ascii="仿宋" w:hAnsi="仿宋" w:eastAsia="仿宋"/>
          <w:sz w:val="28"/>
          <w:szCs w:val="28"/>
        </w:rPr>
      </w:pPr>
    </w:p>
    <w:p w14:paraId="0DBCE25E">
      <w:pPr>
        <w:pStyle w:val="9"/>
        <w:spacing w:line="360" w:lineRule="auto"/>
        <w:ind w:right="560"/>
        <w:rPr>
          <w:rFonts w:ascii="仿宋" w:hAnsi="仿宋" w:eastAsia="仿宋"/>
          <w:sz w:val="28"/>
          <w:szCs w:val="28"/>
        </w:rPr>
      </w:pPr>
    </w:p>
    <w:p w14:paraId="0E9639E7">
      <w:pPr>
        <w:pStyle w:val="9"/>
        <w:spacing w:line="360" w:lineRule="auto"/>
        <w:ind w:right="560"/>
        <w:rPr>
          <w:rFonts w:ascii="仿宋" w:hAnsi="仿宋" w:eastAsia="仿宋"/>
          <w:sz w:val="28"/>
          <w:szCs w:val="28"/>
        </w:rPr>
      </w:pPr>
    </w:p>
    <w:p w14:paraId="0EC7F22A">
      <w:pPr>
        <w:pStyle w:val="9"/>
        <w:spacing w:line="360" w:lineRule="auto"/>
        <w:ind w:right="560"/>
        <w:rPr>
          <w:rFonts w:ascii="仿宋" w:hAnsi="仿宋" w:eastAsia="仿宋"/>
          <w:sz w:val="28"/>
          <w:szCs w:val="28"/>
        </w:rPr>
      </w:pPr>
    </w:p>
    <w:p w14:paraId="15A86A6C">
      <w:pPr>
        <w:pStyle w:val="9"/>
        <w:spacing w:line="360" w:lineRule="auto"/>
        <w:ind w:right="560"/>
        <w:rPr>
          <w:rFonts w:ascii="仿宋" w:hAnsi="仿宋" w:eastAsia="仿宋"/>
          <w:sz w:val="28"/>
          <w:szCs w:val="28"/>
        </w:rPr>
      </w:pPr>
    </w:p>
    <w:p w14:paraId="3B9CF8E1">
      <w:pPr>
        <w:pStyle w:val="9"/>
        <w:spacing w:line="360" w:lineRule="auto"/>
        <w:ind w:right="560"/>
        <w:rPr>
          <w:rFonts w:ascii="仿宋" w:hAnsi="仿宋" w:eastAsia="仿宋"/>
          <w:sz w:val="28"/>
          <w:szCs w:val="28"/>
        </w:rPr>
      </w:pPr>
    </w:p>
    <w:p w14:paraId="51F2AFB0">
      <w:pPr>
        <w:pStyle w:val="38"/>
        <w:spacing w:before="156"/>
        <w:rPr>
          <w:b/>
          <w:bCs/>
          <w:sz w:val="36"/>
          <w:szCs w:val="36"/>
        </w:rPr>
      </w:pPr>
      <w:r>
        <w:rPr>
          <w:rFonts w:hint="eastAsia"/>
          <w:b/>
          <w:bCs/>
          <w:sz w:val="36"/>
          <w:szCs w:val="36"/>
        </w:rPr>
        <w:t>第二章</w:t>
      </w:r>
      <w:r>
        <w:rPr>
          <w:b/>
          <w:bCs/>
          <w:sz w:val="36"/>
          <w:szCs w:val="36"/>
        </w:rPr>
        <w:t xml:space="preserve">  </w:t>
      </w:r>
      <w:r>
        <w:rPr>
          <w:rFonts w:hint="eastAsia"/>
          <w:b/>
          <w:bCs/>
          <w:sz w:val="36"/>
          <w:szCs w:val="36"/>
        </w:rPr>
        <w:t>谈判须知</w:t>
      </w:r>
    </w:p>
    <w:p w14:paraId="3BEB4BBB">
      <w:pPr>
        <w:pStyle w:val="41"/>
        <w:rPr>
          <w:sz w:val="30"/>
          <w:szCs w:val="30"/>
        </w:rPr>
      </w:pPr>
      <w:bookmarkStart w:id="1" w:name="_Toc508871672"/>
      <w:r>
        <w:rPr>
          <w:rFonts w:hint="eastAsia" w:eastAsia="宋体"/>
          <w:sz w:val="30"/>
          <w:szCs w:val="30"/>
        </w:rPr>
        <w:t>谈判</w:t>
      </w:r>
      <w:r>
        <w:rPr>
          <w:rStyle w:val="28"/>
          <w:rFonts w:hint="eastAsia"/>
          <w:b w:val="0"/>
          <w:bCs w:val="0"/>
        </w:rPr>
        <w:t>须知前附表</w:t>
      </w:r>
      <w:bookmarkEnd w:id="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60"/>
        <w:gridCol w:w="7138"/>
        <w:gridCol w:w="13"/>
      </w:tblGrid>
      <w:tr w14:paraId="3F8A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8" w:type="dxa"/>
            <w:vAlign w:val="center"/>
          </w:tcPr>
          <w:p w14:paraId="61BEDEC6">
            <w:pPr>
              <w:spacing w:line="400" w:lineRule="exact"/>
              <w:jc w:val="center"/>
              <w:rPr>
                <w:b/>
                <w:sz w:val="24"/>
                <w:szCs w:val="24"/>
              </w:rPr>
            </w:pPr>
            <w:r>
              <w:rPr>
                <w:rFonts w:hint="eastAsia"/>
                <w:b/>
                <w:sz w:val="24"/>
                <w:szCs w:val="24"/>
              </w:rPr>
              <w:t>条款号</w:t>
            </w:r>
          </w:p>
        </w:tc>
        <w:tc>
          <w:tcPr>
            <w:tcW w:w="1660" w:type="dxa"/>
            <w:vAlign w:val="center"/>
          </w:tcPr>
          <w:p w14:paraId="76479394">
            <w:pPr>
              <w:spacing w:line="400" w:lineRule="exact"/>
              <w:jc w:val="center"/>
              <w:rPr>
                <w:b/>
                <w:sz w:val="24"/>
                <w:szCs w:val="24"/>
              </w:rPr>
            </w:pPr>
            <w:r>
              <w:rPr>
                <w:rFonts w:hint="eastAsia"/>
                <w:b/>
                <w:sz w:val="24"/>
                <w:szCs w:val="24"/>
              </w:rPr>
              <w:t>条款名称</w:t>
            </w:r>
          </w:p>
        </w:tc>
        <w:tc>
          <w:tcPr>
            <w:tcW w:w="7151" w:type="dxa"/>
            <w:gridSpan w:val="2"/>
            <w:vAlign w:val="center"/>
          </w:tcPr>
          <w:p w14:paraId="4A80C550">
            <w:pPr>
              <w:spacing w:line="340" w:lineRule="exact"/>
              <w:jc w:val="center"/>
              <w:rPr>
                <w:b/>
                <w:sz w:val="24"/>
                <w:szCs w:val="24"/>
              </w:rPr>
            </w:pPr>
            <w:r>
              <w:rPr>
                <w:rFonts w:hint="eastAsia"/>
                <w:b/>
                <w:sz w:val="24"/>
                <w:szCs w:val="24"/>
              </w:rPr>
              <w:t>编列内容</w:t>
            </w:r>
          </w:p>
        </w:tc>
      </w:tr>
      <w:tr w14:paraId="14E2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593C259C">
            <w:pPr>
              <w:jc w:val="center"/>
              <w:rPr>
                <w:sz w:val="24"/>
                <w:szCs w:val="24"/>
              </w:rPr>
            </w:pPr>
            <w:r>
              <w:rPr>
                <w:rFonts w:hint="eastAsia"/>
                <w:sz w:val="24"/>
                <w:szCs w:val="24"/>
              </w:rPr>
              <w:t>1.1.1</w:t>
            </w:r>
          </w:p>
        </w:tc>
        <w:tc>
          <w:tcPr>
            <w:tcW w:w="1660" w:type="dxa"/>
            <w:vAlign w:val="center"/>
          </w:tcPr>
          <w:p w14:paraId="0B3D4115">
            <w:pPr>
              <w:jc w:val="center"/>
              <w:rPr>
                <w:sz w:val="24"/>
                <w:szCs w:val="24"/>
              </w:rPr>
            </w:pPr>
            <w:r>
              <w:rPr>
                <w:rFonts w:hint="eastAsia"/>
                <w:sz w:val="24"/>
                <w:szCs w:val="24"/>
              </w:rPr>
              <w:t>采购人</w:t>
            </w:r>
          </w:p>
        </w:tc>
        <w:tc>
          <w:tcPr>
            <w:tcW w:w="7151" w:type="dxa"/>
            <w:gridSpan w:val="2"/>
            <w:vAlign w:val="center"/>
          </w:tcPr>
          <w:p w14:paraId="210FB60D">
            <w:pPr>
              <w:spacing w:line="340" w:lineRule="exact"/>
              <w:rPr>
                <w:sz w:val="24"/>
                <w:szCs w:val="24"/>
              </w:rPr>
            </w:pPr>
            <w:r>
              <w:rPr>
                <w:rFonts w:hint="eastAsia"/>
                <w:sz w:val="24"/>
                <w:szCs w:val="24"/>
              </w:rPr>
              <w:t>山东济钢环保新材料有限公司</w:t>
            </w:r>
          </w:p>
        </w:tc>
      </w:tr>
      <w:tr w14:paraId="01E0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6F6567B1">
            <w:pPr>
              <w:jc w:val="center"/>
              <w:rPr>
                <w:sz w:val="24"/>
                <w:szCs w:val="24"/>
              </w:rPr>
            </w:pPr>
            <w:r>
              <w:rPr>
                <w:rFonts w:hint="eastAsia"/>
                <w:sz w:val="24"/>
                <w:szCs w:val="24"/>
              </w:rPr>
              <w:t>1.1.2</w:t>
            </w:r>
          </w:p>
        </w:tc>
        <w:tc>
          <w:tcPr>
            <w:tcW w:w="1660" w:type="dxa"/>
            <w:vAlign w:val="center"/>
          </w:tcPr>
          <w:p w14:paraId="65F08E12">
            <w:pPr>
              <w:jc w:val="center"/>
              <w:rPr>
                <w:sz w:val="24"/>
                <w:szCs w:val="24"/>
              </w:rPr>
            </w:pPr>
            <w:r>
              <w:rPr>
                <w:rFonts w:hint="eastAsia"/>
                <w:sz w:val="24"/>
                <w:szCs w:val="24"/>
              </w:rPr>
              <w:t>项目名称</w:t>
            </w:r>
          </w:p>
        </w:tc>
        <w:tc>
          <w:tcPr>
            <w:tcW w:w="7151" w:type="dxa"/>
            <w:gridSpan w:val="2"/>
            <w:vAlign w:val="center"/>
          </w:tcPr>
          <w:p w14:paraId="48690884">
            <w:pPr>
              <w:spacing w:line="340" w:lineRule="exact"/>
              <w:rPr>
                <w:sz w:val="24"/>
                <w:szCs w:val="24"/>
              </w:rPr>
            </w:pPr>
            <w:r>
              <w:rPr>
                <w:rFonts w:hint="eastAsia"/>
                <w:bCs/>
                <w:sz w:val="24"/>
                <w:szCs w:val="24"/>
              </w:rPr>
              <w:t>山东</w:t>
            </w:r>
            <w:r>
              <w:rPr>
                <w:rFonts w:hint="eastAsia"/>
                <w:sz w:val="24"/>
                <w:szCs w:val="24"/>
              </w:rPr>
              <w:t>济钢环保新材料有限公司济南市章丘区官庄弓角湾村南建筑石料用灰岩东矿区安全验收评价</w:t>
            </w:r>
          </w:p>
        </w:tc>
      </w:tr>
      <w:tr w14:paraId="6170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51E766FF">
            <w:pPr>
              <w:jc w:val="center"/>
              <w:rPr>
                <w:sz w:val="24"/>
                <w:szCs w:val="24"/>
              </w:rPr>
            </w:pPr>
            <w:r>
              <w:rPr>
                <w:rFonts w:hint="eastAsia"/>
                <w:sz w:val="24"/>
                <w:szCs w:val="24"/>
              </w:rPr>
              <w:t>1.1.3</w:t>
            </w:r>
          </w:p>
        </w:tc>
        <w:tc>
          <w:tcPr>
            <w:tcW w:w="1660" w:type="dxa"/>
            <w:vAlign w:val="center"/>
          </w:tcPr>
          <w:p w14:paraId="2D967F95">
            <w:pPr>
              <w:spacing w:line="240" w:lineRule="atLeast"/>
              <w:jc w:val="center"/>
              <w:rPr>
                <w:sz w:val="24"/>
                <w:szCs w:val="24"/>
              </w:rPr>
            </w:pPr>
            <w:r>
              <w:rPr>
                <w:rFonts w:hint="eastAsia"/>
                <w:sz w:val="24"/>
                <w:szCs w:val="24"/>
              </w:rPr>
              <w:t>项目概况</w:t>
            </w:r>
          </w:p>
        </w:tc>
        <w:tc>
          <w:tcPr>
            <w:tcW w:w="7151" w:type="dxa"/>
            <w:gridSpan w:val="2"/>
            <w:vAlign w:val="center"/>
          </w:tcPr>
          <w:p w14:paraId="6E40066A">
            <w:pPr>
              <w:spacing w:line="340" w:lineRule="exact"/>
              <w:rPr>
                <w:sz w:val="24"/>
                <w:szCs w:val="24"/>
              </w:rPr>
            </w:pPr>
            <w:r>
              <w:rPr>
                <w:rFonts w:hint="eastAsia"/>
                <w:sz w:val="24"/>
                <w:szCs w:val="24"/>
              </w:rPr>
              <w:t>详见公告第三条</w:t>
            </w:r>
          </w:p>
        </w:tc>
      </w:tr>
      <w:tr w14:paraId="09A4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4E8C80AF">
            <w:pPr>
              <w:jc w:val="center"/>
              <w:rPr>
                <w:sz w:val="24"/>
                <w:szCs w:val="24"/>
              </w:rPr>
            </w:pPr>
            <w:r>
              <w:rPr>
                <w:rFonts w:hint="eastAsia"/>
                <w:sz w:val="24"/>
                <w:szCs w:val="24"/>
              </w:rPr>
              <w:t>1.1.4</w:t>
            </w:r>
          </w:p>
        </w:tc>
        <w:tc>
          <w:tcPr>
            <w:tcW w:w="1660" w:type="dxa"/>
            <w:vAlign w:val="center"/>
          </w:tcPr>
          <w:p w14:paraId="1F071922">
            <w:pPr>
              <w:spacing w:line="240" w:lineRule="atLeast"/>
              <w:jc w:val="center"/>
              <w:rPr>
                <w:sz w:val="24"/>
                <w:szCs w:val="24"/>
              </w:rPr>
            </w:pPr>
            <w:r>
              <w:rPr>
                <w:rFonts w:hint="eastAsia"/>
                <w:sz w:val="24"/>
                <w:szCs w:val="24"/>
              </w:rPr>
              <w:t>项目地点</w:t>
            </w:r>
          </w:p>
        </w:tc>
        <w:tc>
          <w:tcPr>
            <w:tcW w:w="7151" w:type="dxa"/>
            <w:gridSpan w:val="2"/>
            <w:vAlign w:val="center"/>
          </w:tcPr>
          <w:p w14:paraId="6DF409FA">
            <w:pPr>
              <w:spacing w:line="340" w:lineRule="exact"/>
              <w:rPr>
                <w:sz w:val="24"/>
                <w:szCs w:val="24"/>
              </w:rPr>
            </w:pPr>
            <w:r>
              <w:rPr>
                <w:rFonts w:hint="eastAsia"/>
                <w:sz w:val="24"/>
                <w:szCs w:val="24"/>
              </w:rPr>
              <w:t>山东省济南市章丘区官庄街道青野村东</w:t>
            </w:r>
          </w:p>
        </w:tc>
      </w:tr>
      <w:tr w14:paraId="1366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46592460">
            <w:pPr>
              <w:jc w:val="center"/>
              <w:rPr>
                <w:sz w:val="24"/>
                <w:szCs w:val="24"/>
              </w:rPr>
            </w:pPr>
            <w:r>
              <w:rPr>
                <w:rFonts w:hint="eastAsia"/>
                <w:sz w:val="24"/>
                <w:szCs w:val="24"/>
              </w:rPr>
              <w:t>1.2.1</w:t>
            </w:r>
          </w:p>
        </w:tc>
        <w:tc>
          <w:tcPr>
            <w:tcW w:w="1660" w:type="dxa"/>
            <w:vAlign w:val="center"/>
          </w:tcPr>
          <w:p w14:paraId="6D91D01C">
            <w:pPr>
              <w:spacing w:line="240" w:lineRule="atLeast"/>
              <w:jc w:val="center"/>
              <w:rPr>
                <w:sz w:val="24"/>
                <w:szCs w:val="24"/>
              </w:rPr>
            </w:pPr>
            <w:r>
              <w:rPr>
                <w:rFonts w:hint="eastAsia"/>
                <w:sz w:val="24"/>
                <w:szCs w:val="24"/>
              </w:rPr>
              <w:t>资金来源</w:t>
            </w:r>
          </w:p>
        </w:tc>
        <w:tc>
          <w:tcPr>
            <w:tcW w:w="7151" w:type="dxa"/>
            <w:gridSpan w:val="2"/>
            <w:vAlign w:val="center"/>
          </w:tcPr>
          <w:p w14:paraId="150C86FF">
            <w:pPr>
              <w:spacing w:line="340" w:lineRule="exact"/>
              <w:rPr>
                <w:sz w:val="24"/>
                <w:szCs w:val="24"/>
              </w:rPr>
            </w:pPr>
            <w:r>
              <w:rPr>
                <w:rFonts w:hint="eastAsia"/>
                <w:sz w:val="24"/>
                <w:szCs w:val="24"/>
              </w:rPr>
              <w:t>自有资金</w:t>
            </w:r>
          </w:p>
          <w:p w14:paraId="2F1DB0CD">
            <w:pPr>
              <w:spacing w:line="340" w:lineRule="exact"/>
              <w:rPr>
                <w:sz w:val="24"/>
                <w:szCs w:val="24"/>
              </w:rPr>
            </w:pPr>
          </w:p>
        </w:tc>
      </w:tr>
      <w:tr w14:paraId="7B24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34CA18BF">
            <w:pPr>
              <w:jc w:val="center"/>
              <w:rPr>
                <w:sz w:val="24"/>
                <w:szCs w:val="24"/>
              </w:rPr>
            </w:pPr>
            <w:r>
              <w:rPr>
                <w:rFonts w:hint="eastAsia"/>
                <w:sz w:val="24"/>
                <w:szCs w:val="24"/>
              </w:rPr>
              <w:t>1.2.2</w:t>
            </w:r>
          </w:p>
        </w:tc>
        <w:tc>
          <w:tcPr>
            <w:tcW w:w="1660" w:type="dxa"/>
            <w:vAlign w:val="center"/>
          </w:tcPr>
          <w:p w14:paraId="194866E0">
            <w:pPr>
              <w:spacing w:line="240" w:lineRule="atLeast"/>
              <w:jc w:val="center"/>
              <w:rPr>
                <w:sz w:val="24"/>
                <w:szCs w:val="24"/>
              </w:rPr>
            </w:pPr>
            <w:r>
              <w:rPr>
                <w:rFonts w:hint="eastAsia"/>
                <w:sz w:val="24"/>
                <w:szCs w:val="24"/>
              </w:rPr>
              <w:t>采购方式</w:t>
            </w:r>
          </w:p>
        </w:tc>
        <w:tc>
          <w:tcPr>
            <w:tcW w:w="7151" w:type="dxa"/>
            <w:gridSpan w:val="2"/>
            <w:vAlign w:val="center"/>
          </w:tcPr>
          <w:p w14:paraId="106C6E47">
            <w:pPr>
              <w:spacing w:line="340" w:lineRule="exact"/>
              <w:rPr>
                <w:sz w:val="24"/>
                <w:szCs w:val="24"/>
              </w:rPr>
            </w:pPr>
            <w:r>
              <w:rPr>
                <w:rFonts w:hint="eastAsia"/>
                <w:sz w:val="24"/>
                <w:szCs w:val="24"/>
              </w:rPr>
              <w:t>竞争性谈判，资格后审</w:t>
            </w:r>
          </w:p>
        </w:tc>
      </w:tr>
      <w:tr w14:paraId="5C3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58" w:type="dxa"/>
            <w:vAlign w:val="center"/>
          </w:tcPr>
          <w:p w14:paraId="1E8727CF">
            <w:pPr>
              <w:jc w:val="center"/>
              <w:rPr>
                <w:sz w:val="24"/>
                <w:szCs w:val="24"/>
              </w:rPr>
            </w:pPr>
            <w:r>
              <w:rPr>
                <w:rFonts w:hint="eastAsia"/>
                <w:sz w:val="24"/>
                <w:szCs w:val="24"/>
              </w:rPr>
              <w:t>1.3.1</w:t>
            </w:r>
          </w:p>
        </w:tc>
        <w:tc>
          <w:tcPr>
            <w:tcW w:w="1660" w:type="dxa"/>
            <w:vAlign w:val="center"/>
          </w:tcPr>
          <w:p w14:paraId="136275F6">
            <w:pPr>
              <w:spacing w:line="360" w:lineRule="exact"/>
              <w:jc w:val="center"/>
              <w:rPr>
                <w:sz w:val="24"/>
                <w:szCs w:val="24"/>
              </w:rPr>
            </w:pPr>
            <w:r>
              <w:rPr>
                <w:rFonts w:hint="eastAsia"/>
                <w:sz w:val="24"/>
                <w:szCs w:val="24"/>
              </w:rPr>
              <w:t>采购范围</w:t>
            </w:r>
          </w:p>
        </w:tc>
        <w:tc>
          <w:tcPr>
            <w:tcW w:w="7151" w:type="dxa"/>
            <w:gridSpan w:val="2"/>
            <w:vAlign w:val="center"/>
          </w:tcPr>
          <w:p w14:paraId="2C1EBC62">
            <w:pPr>
              <w:spacing w:line="360" w:lineRule="auto"/>
              <w:rPr>
                <w:sz w:val="24"/>
                <w:szCs w:val="24"/>
              </w:rPr>
            </w:pPr>
            <w:r>
              <w:rPr>
                <w:rFonts w:hint="eastAsia"/>
                <w:sz w:val="24"/>
                <w:szCs w:val="24"/>
              </w:rPr>
              <w:t>详见公告第三条</w:t>
            </w:r>
          </w:p>
        </w:tc>
      </w:tr>
      <w:tr w14:paraId="0262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1268F94A">
            <w:pPr>
              <w:spacing w:line="240" w:lineRule="atLeast"/>
              <w:jc w:val="center"/>
              <w:rPr>
                <w:sz w:val="24"/>
                <w:szCs w:val="24"/>
              </w:rPr>
            </w:pPr>
            <w:r>
              <w:rPr>
                <w:rFonts w:hint="eastAsia"/>
                <w:sz w:val="24"/>
                <w:szCs w:val="24"/>
              </w:rPr>
              <w:t>1.3.2</w:t>
            </w:r>
          </w:p>
        </w:tc>
        <w:tc>
          <w:tcPr>
            <w:tcW w:w="1660" w:type="dxa"/>
            <w:vAlign w:val="center"/>
          </w:tcPr>
          <w:p w14:paraId="7B0D1C7E">
            <w:pPr>
              <w:spacing w:line="240" w:lineRule="atLeast"/>
              <w:jc w:val="center"/>
              <w:rPr>
                <w:sz w:val="24"/>
                <w:szCs w:val="24"/>
              </w:rPr>
            </w:pPr>
            <w:r>
              <w:rPr>
                <w:rFonts w:hint="eastAsia"/>
                <w:sz w:val="24"/>
                <w:szCs w:val="24"/>
              </w:rPr>
              <w:t>服务期限</w:t>
            </w:r>
          </w:p>
        </w:tc>
        <w:tc>
          <w:tcPr>
            <w:tcW w:w="7151" w:type="dxa"/>
            <w:gridSpan w:val="2"/>
          </w:tcPr>
          <w:p w14:paraId="0EEA9B5C">
            <w:pPr>
              <w:spacing w:line="340" w:lineRule="exact"/>
              <w:rPr>
                <w:sz w:val="24"/>
                <w:szCs w:val="24"/>
              </w:rPr>
            </w:pPr>
            <w:r>
              <w:rPr>
                <w:rFonts w:hint="eastAsia" w:ascii="宋体" w:hAnsi="宋体" w:cs="宋体"/>
                <w:sz w:val="24"/>
                <w:szCs w:val="24"/>
              </w:rPr>
              <w:t>自合同生效之日起至取得安全生产许可证</w:t>
            </w:r>
          </w:p>
        </w:tc>
      </w:tr>
      <w:tr w14:paraId="75E6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958" w:type="dxa"/>
            <w:vAlign w:val="center"/>
          </w:tcPr>
          <w:p w14:paraId="21158F0F">
            <w:pPr>
              <w:spacing w:line="240" w:lineRule="atLeast"/>
              <w:jc w:val="center"/>
              <w:rPr>
                <w:sz w:val="24"/>
                <w:szCs w:val="24"/>
              </w:rPr>
            </w:pPr>
            <w:r>
              <w:rPr>
                <w:rFonts w:hint="eastAsia"/>
                <w:sz w:val="24"/>
                <w:szCs w:val="24"/>
              </w:rPr>
              <w:t>1.3.3</w:t>
            </w:r>
          </w:p>
        </w:tc>
        <w:tc>
          <w:tcPr>
            <w:tcW w:w="1660" w:type="dxa"/>
            <w:vAlign w:val="center"/>
          </w:tcPr>
          <w:p w14:paraId="6C0B498E">
            <w:pPr>
              <w:spacing w:line="240" w:lineRule="atLeast"/>
              <w:jc w:val="center"/>
              <w:rPr>
                <w:sz w:val="24"/>
                <w:szCs w:val="24"/>
              </w:rPr>
            </w:pPr>
            <w:r>
              <w:rPr>
                <w:rFonts w:hint="eastAsia"/>
                <w:sz w:val="24"/>
                <w:szCs w:val="24"/>
              </w:rPr>
              <w:t>交货地点</w:t>
            </w:r>
          </w:p>
        </w:tc>
        <w:tc>
          <w:tcPr>
            <w:tcW w:w="7151" w:type="dxa"/>
            <w:gridSpan w:val="2"/>
            <w:vAlign w:val="center"/>
          </w:tcPr>
          <w:p w14:paraId="2E7429C9">
            <w:pPr>
              <w:spacing w:line="340" w:lineRule="exact"/>
              <w:rPr>
                <w:b/>
                <w:sz w:val="24"/>
                <w:szCs w:val="24"/>
              </w:rPr>
            </w:pPr>
            <w:r>
              <w:rPr>
                <w:rFonts w:hint="eastAsia"/>
                <w:sz w:val="24"/>
                <w:szCs w:val="24"/>
              </w:rPr>
              <w:t>山东省济南市章丘区官庄街道青野村东</w:t>
            </w:r>
          </w:p>
        </w:tc>
      </w:tr>
      <w:tr w14:paraId="738F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8" w:type="dxa"/>
            <w:vAlign w:val="center"/>
          </w:tcPr>
          <w:p w14:paraId="0A1CBA25">
            <w:pPr>
              <w:spacing w:line="240" w:lineRule="atLeast"/>
              <w:jc w:val="center"/>
              <w:rPr>
                <w:sz w:val="24"/>
                <w:szCs w:val="24"/>
              </w:rPr>
            </w:pPr>
            <w:r>
              <w:rPr>
                <w:rFonts w:hint="eastAsia"/>
                <w:sz w:val="24"/>
                <w:szCs w:val="24"/>
              </w:rPr>
              <w:t>1.3.4</w:t>
            </w:r>
          </w:p>
        </w:tc>
        <w:tc>
          <w:tcPr>
            <w:tcW w:w="1660" w:type="dxa"/>
            <w:vAlign w:val="center"/>
          </w:tcPr>
          <w:p w14:paraId="225CE979">
            <w:pPr>
              <w:spacing w:line="240" w:lineRule="atLeast"/>
              <w:jc w:val="center"/>
              <w:rPr>
                <w:sz w:val="24"/>
                <w:szCs w:val="24"/>
              </w:rPr>
            </w:pPr>
            <w:r>
              <w:rPr>
                <w:rFonts w:hint="eastAsia"/>
                <w:sz w:val="24"/>
                <w:szCs w:val="24"/>
              </w:rPr>
              <w:t>出具报告期限</w:t>
            </w:r>
          </w:p>
        </w:tc>
        <w:tc>
          <w:tcPr>
            <w:tcW w:w="7151" w:type="dxa"/>
            <w:gridSpan w:val="2"/>
            <w:vAlign w:val="center"/>
          </w:tcPr>
          <w:p w14:paraId="3734F41C">
            <w:pPr>
              <w:spacing w:line="240" w:lineRule="atLeast"/>
              <w:jc w:val="left"/>
              <w:rPr>
                <w:sz w:val="24"/>
                <w:szCs w:val="24"/>
              </w:rPr>
            </w:pPr>
            <w:r>
              <w:rPr>
                <w:rFonts w:hint="eastAsia"/>
                <w:sz w:val="24"/>
                <w:szCs w:val="24"/>
              </w:rPr>
              <w:t>现场基建结束，完成安全设施验收评价后 10 个工作日内</w:t>
            </w:r>
          </w:p>
        </w:tc>
      </w:tr>
      <w:tr w14:paraId="64E6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0176FBD7">
            <w:pPr>
              <w:jc w:val="center"/>
              <w:rPr>
                <w:sz w:val="24"/>
                <w:szCs w:val="24"/>
              </w:rPr>
            </w:pPr>
            <w:r>
              <w:rPr>
                <w:rFonts w:hint="eastAsia"/>
                <w:sz w:val="24"/>
                <w:szCs w:val="24"/>
              </w:rPr>
              <w:t>1.4.1</w:t>
            </w:r>
          </w:p>
        </w:tc>
        <w:tc>
          <w:tcPr>
            <w:tcW w:w="1660" w:type="dxa"/>
            <w:vAlign w:val="center"/>
          </w:tcPr>
          <w:p w14:paraId="36565943">
            <w:pPr>
              <w:spacing w:line="360" w:lineRule="exact"/>
              <w:jc w:val="center"/>
              <w:rPr>
                <w:sz w:val="24"/>
                <w:szCs w:val="24"/>
              </w:rPr>
            </w:pPr>
            <w:r>
              <w:rPr>
                <w:rFonts w:hint="eastAsia"/>
                <w:sz w:val="24"/>
                <w:szCs w:val="24"/>
              </w:rPr>
              <w:t xml:space="preserve">供应商的资格要求 </w:t>
            </w:r>
          </w:p>
        </w:tc>
        <w:tc>
          <w:tcPr>
            <w:tcW w:w="7151" w:type="dxa"/>
            <w:gridSpan w:val="2"/>
            <w:vAlign w:val="center"/>
          </w:tcPr>
          <w:p w14:paraId="1AFD5DC9">
            <w:pPr>
              <w:spacing w:line="360" w:lineRule="auto"/>
              <w:ind w:firstLine="480" w:firstLineChars="200"/>
              <w:rPr>
                <w:sz w:val="24"/>
                <w:szCs w:val="24"/>
              </w:rPr>
            </w:pPr>
            <w:r>
              <w:rPr>
                <w:sz w:val="24"/>
                <w:szCs w:val="24"/>
              </w:rPr>
              <w:t>1</w:t>
            </w:r>
            <w:r>
              <w:rPr>
                <w:rFonts w:hint="eastAsia"/>
                <w:sz w:val="24"/>
                <w:szCs w:val="24"/>
              </w:rPr>
              <w:t>、依法成立，具有独立法人资格；</w:t>
            </w:r>
          </w:p>
          <w:p w14:paraId="39738AB5">
            <w:pPr>
              <w:spacing w:line="360" w:lineRule="auto"/>
              <w:ind w:firstLine="480" w:firstLineChars="200"/>
              <w:rPr>
                <w:sz w:val="24"/>
                <w:szCs w:val="24"/>
              </w:rPr>
            </w:pPr>
            <w:r>
              <w:rPr>
                <w:rFonts w:hint="eastAsia"/>
                <w:sz w:val="24"/>
                <w:szCs w:val="24"/>
              </w:rPr>
              <w:t>2、具有履行合同必需的设备、专业技术人员（安全、采矿、地质、电气、机械专职安全评价师），需要提供专业技术人员资格证书（复印件）；</w:t>
            </w:r>
          </w:p>
          <w:p w14:paraId="6C887B2F">
            <w:pPr>
              <w:spacing w:line="360" w:lineRule="auto"/>
              <w:ind w:firstLine="480" w:firstLineChars="200"/>
              <w:rPr>
                <w:sz w:val="24"/>
                <w:szCs w:val="24"/>
              </w:rPr>
            </w:pPr>
            <w:r>
              <w:rPr>
                <w:rFonts w:hint="eastAsia"/>
                <w:sz w:val="24"/>
                <w:szCs w:val="24"/>
              </w:rPr>
              <w:t>3、具有金属非金属矿山安全评价资质，提供近三年内3个及以上类似服务业绩，需要提供合同及发票等相关证明材料（扫描件）；</w:t>
            </w:r>
          </w:p>
          <w:p w14:paraId="1602D46D">
            <w:pPr>
              <w:spacing w:line="360" w:lineRule="auto"/>
              <w:ind w:firstLine="480" w:firstLineChars="200"/>
              <w:rPr>
                <w:sz w:val="24"/>
                <w:szCs w:val="24"/>
              </w:rPr>
            </w:pPr>
            <w:r>
              <w:rPr>
                <w:rFonts w:hint="eastAsia"/>
                <w:sz w:val="24"/>
                <w:szCs w:val="24"/>
              </w:rPr>
              <w:t>4、具有良好的企业信誉和健全的财务会计制度，提供财务报表或者财务审计报告，可以通过扫描防伪二维码在注册会计师行业统一监管平台查询(http://acc.mof.gov.cn)；</w:t>
            </w:r>
          </w:p>
          <w:p w14:paraId="67497B42">
            <w:pPr>
              <w:spacing w:line="360" w:lineRule="auto"/>
              <w:ind w:firstLine="480" w:firstLineChars="200"/>
              <w:rPr>
                <w:sz w:val="24"/>
                <w:szCs w:val="24"/>
              </w:rPr>
            </w:pPr>
            <w:r>
              <w:rPr>
                <w:rFonts w:hint="eastAsia"/>
                <w:sz w:val="24"/>
                <w:szCs w:val="24"/>
              </w:rPr>
              <w:t>5、在本次谈判前三年（2022-2024年）内，应无下列不良记录：被行业主管部门通报整改的单位、被责令停业的、被暂停或取消</w:t>
            </w:r>
            <w:r>
              <w:rPr>
                <w:rFonts w:hint="eastAsia"/>
                <w:sz w:val="24"/>
                <w:szCs w:val="24"/>
                <w:lang w:val="en-US" w:eastAsia="zh-CN"/>
              </w:rPr>
              <w:t>其</w:t>
            </w:r>
            <w:r>
              <w:rPr>
                <w:rFonts w:hint="eastAsia"/>
                <w:sz w:val="24"/>
                <w:szCs w:val="24"/>
              </w:rPr>
              <w:t>资格的、财产被接管或冻结的、在经营活动中有重大违法违规行为。</w:t>
            </w:r>
          </w:p>
          <w:p w14:paraId="179906E5">
            <w:pPr>
              <w:spacing w:line="360" w:lineRule="auto"/>
              <w:ind w:firstLine="480" w:firstLineChars="200"/>
              <w:rPr>
                <w:sz w:val="24"/>
                <w:szCs w:val="24"/>
              </w:rPr>
            </w:pPr>
            <w:r>
              <w:rPr>
                <w:rFonts w:hint="eastAsia"/>
                <w:sz w:val="24"/>
                <w:szCs w:val="24"/>
              </w:rPr>
              <w:t>6</w:t>
            </w:r>
            <w:r>
              <w:rPr>
                <w:sz w:val="24"/>
                <w:szCs w:val="24"/>
              </w:rPr>
              <w:t>、</w:t>
            </w:r>
            <w:r>
              <w:rPr>
                <w:rFonts w:hint="eastAsia"/>
                <w:sz w:val="24"/>
                <w:szCs w:val="24"/>
              </w:rPr>
              <w:t>须遵守中华人民共和国有关法律、法规，无重大违法违约行为。“通过“信用中国”网站（www.creditchina.gov.cn）、中国政府招标网（www.ccgp.gov.cn）查询，未被列入失信被执行人、重大税收违法案件当事人、政府招标严重违法失信行为记录名单”，提供查询截屏。</w:t>
            </w:r>
          </w:p>
        </w:tc>
      </w:tr>
      <w:tr w14:paraId="3A7A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66BF50E">
            <w:pPr>
              <w:spacing w:line="240" w:lineRule="atLeast"/>
              <w:jc w:val="center"/>
              <w:rPr>
                <w:sz w:val="24"/>
                <w:szCs w:val="24"/>
              </w:rPr>
            </w:pPr>
            <w:r>
              <w:rPr>
                <w:rFonts w:hint="eastAsia"/>
                <w:sz w:val="24"/>
                <w:szCs w:val="24"/>
              </w:rPr>
              <w:t>1.4.2</w:t>
            </w:r>
          </w:p>
        </w:tc>
        <w:tc>
          <w:tcPr>
            <w:tcW w:w="1660" w:type="dxa"/>
            <w:vAlign w:val="center"/>
          </w:tcPr>
          <w:p w14:paraId="43A282DD">
            <w:pPr>
              <w:spacing w:line="240" w:lineRule="atLeast"/>
              <w:jc w:val="center"/>
              <w:rPr>
                <w:sz w:val="24"/>
                <w:szCs w:val="24"/>
              </w:rPr>
            </w:pPr>
            <w:r>
              <w:rPr>
                <w:rFonts w:hint="eastAsia"/>
                <w:sz w:val="24"/>
                <w:szCs w:val="24"/>
              </w:rPr>
              <w:t>是否接受联合体</w:t>
            </w:r>
          </w:p>
        </w:tc>
        <w:tc>
          <w:tcPr>
            <w:tcW w:w="7151" w:type="dxa"/>
            <w:gridSpan w:val="2"/>
            <w:vAlign w:val="center"/>
          </w:tcPr>
          <w:p w14:paraId="34767072">
            <w:pPr>
              <w:spacing w:line="340" w:lineRule="exact"/>
              <w:rPr>
                <w:sz w:val="24"/>
                <w:szCs w:val="24"/>
              </w:rPr>
            </w:pPr>
            <w:r>
              <w:rPr>
                <w:rFonts w:hint="eastAsia"/>
                <w:sz w:val="24"/>
                <w:szCs w:val="24"/>
              </w:rPr>
              <w:t>不接受</w:t>
            </w:r>
          </w:p>
        </w:tc>
      </w:tr>
      <w:tr w14:paraId="62BA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12E4E38F">
            <w:pPr>
              <w:spacing w:line="240" w:lineRule="atLeast"/>
              <w:jc w:val="center"/>
              <w:rPr>
                <w:sz w:val="24"/>
                <w:szCs w:val="24"/>
              </w:rPr>
            </w:pPr>
            <w:r>
              <w:rPr>
                <w:rFonts w:hint="eastAsia"/>
                <w:sz w:val="24"/>
                <w:szCs w:val="24"/>
              </w:rPr>
              <w:t>1.9</w:t>
            </w:r>
          </w:p>
        </w:tc>
        <w:tc>
          <w:tcPr>
            <w:tcW w:w="1660" w:type="dxa"/>
            <w:vAlign w:val="center"/>
          </w:tcPr>
          <w:p w14:paraId="739DAB08">
            <w:pPr>
              <w:spacing w:line="240" w:lineRule="atLeast"/>
              <w:jc w:val="center"/>
              <w:rPr>
                <w:sz w:val="24"/>
                <w:szCs w:val="24"/>
              </w:rPr>
            </w:pPr>
            <w:r>
              <w:rPr>
                <w:rFonts w:hint="eastAsia"/>
                <w:sz w:val="24"/>
                <w:szCs w:val="24"/>
              </w:rPr>
              <w:t>是否组织现场踏勘</w:t>
            </w:r>
          </w:p>
        </w:tc>
        <w:tc>
          <w:tcPr>
            <w:tcW w:w="7151" w:type="dxa"/>
            <w:gridSpan w:val="2"/>
            <w:vAlign w:val="center"/>
          </w:tcPr>
          <w:p w14:paraId="36492C06">
            <w:pPr>
              <w:spacing w:line="340" w:lineRule="exact"/>
              <w:rPr>
                <w:sz w:val="24"/>
                <w:szCs w:val="24"/>
              </w:rPr>
            </w:pPr>
            <w:r>
              <w:rPr>
                <w:rFonts w:hint="eastAsia"/>
                <w:sz w:val="24"/>
                <w:szCs w:val="24"/>
              </w:rPr>
              <w:t>不统一组织现场踏勘</w:t>
            </w:r>
          </w:p>
        </w:tc>
      </w:tr>
      <w:tr w14:paraId="74AA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6931DB89">
            <w:pPr>
              <w:spacing w:line="240" w:lineRule="atLeast"/>
              <w:jc w:val="center"/>
              <w:rPr>
                <w:sz w:val="24"/>
                <w:szCs w:val="24"/>
              </w:rPr>
            </w:pPr>
            <w:r>
              <w:rPr>
                <w:rFonts w:hint="eastAsia"/>
                <w:sz w:val="24"/>
                <w:szCs w:val="24"/>
              </w:rPr>
              <w:t>1.10</w:t>
            </w:r>
          </w:p>
        </w:tc>
        <w:tc>
          <w:tcPr>
            <w:tcW w:w="1660" w:type="dxa"/>
            <w:vAlign w:val="center"/>
          </w:tcPr>
          <w:p w14:paraId="5E98F387">
            <w:pPr>
              <w:spacing w:line="240" w:lineRule="atLeast"/>
              <w:jc w:val="center"/>
              <w:rPr>
                <w:sz w:val="24"/>
                <w:szCs w:val="24"/>
              </w:rPr>
            </w:pPr>
            <w:r>
              <w:rPr>
                <w:rFonts w:hint="eastAsia"/>
                <w:sz w:val="24"/>
                <w:szCs w:val="24"/>
              </w:rPr>
              <w:t>谈判预备会</w:t>
            </w:r>
          </w:p>
        </w:tc>
        <w:tc>
          <w:tcPr>
            <w:tcW w:w="7151" w:type="dxa"/>
            <w:gridSpan w:val="2"/>
            <w:vAlign w:val="center"/>
          </w:tcPr>
          <w:p w14:paraId="1E7925FD">
            <w:pPr>
              <w:spacing w:line="340" w:lineRule="exact"/>
              <w:rPr>
                <w:sz w:val="24"/>
                <w:szCs w:val="24"/>
              </w:rPr>
            </w:pPr>
            <w:r>
              <w:rPr>
                <w:rFonts w:hint="eastAsia"/>
                <w:sz w:val="24"/>
                <w:szCs w:val="24"/>
              </w:rPr>
              <w:t>不召开</w:t>
            </w:r>
          </w:p>
        </w:tc>
      </w:tr>
      <w:tr w14:paraId="22DA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8" w:type="dxa"/>
            <w:vAlign w:val="center"/>
          </w:tcPr>
          <w:p w14:paraId="4416EF6B">
            <w:pPr>
              <w:jc w:val="center"/>
              <w:rPr>
                <w:sz w:val="24"/>
                <w:szCs w:val="24"/>
              </w:rPr>
            </w:pPr>
            <w:r>
              <w:rPr>
                <w:rFonts w:hint="eastAsia"/>
                <w:sz w:val="24"/>
                <w:szCs w:val="24"/>
              </w:rPr>
              <w:t>2.1.1</w:t>
            </w:r>
          </w:p>
        </w:tc>
        <w:tc>
          <w:tcPr>
            <w:tcW w:w="1660" w:type="dxa"/>
            <w:vAlign w:val="center"/>
          </w:tcPr>
          <w:p w14:paraId="77C93C96">
            <w:pPr>
              <w:spacing w:line="360" w:lineRule="exact"/>
              <w:jc w:val="center"/>
              <w:rPr>
                <w:sz w:val="24"/>
                <w:szCs w:val="24"/>
              </w:rPr>
            </w:pPr>
            <w:r>
              <w:rPr>
                <w:rFonts w:hint="eastAsia"/>
                <w:sz w:val="24"/>
                <w:szCs w:val="24"/>
              </w:rPr>
              <w:t>谈判文件的发布</w:t>
            </w:r>
          </w:p>
        </w:tc>
        <w:tc>
          <w:tcPr>
            <w:tcW w:w="7151" w:type="dxa"/>
            <w:gridSpan w:val="2"/>
            <w:vAlign w:val="center"/>
          </w:tcPr>
          <w:p w14:paraId="216C06E7">
            <w:pPr>
              <w:spacing w:line="340" w:lineRule="exact"/>
              <w:rPr>
                <w:sz w:val="24"/>
                <w:szCs w:val="24"/>
              </w:rPr>
            </w:pPr>
            <w:r>
              <w:rPr>
                <w:rFonts w:hint="eastAsia"/>
                <w:sz w:val="24"/>
                <w:szCs w:val="24"/>
              </w:rPr>
              <w:t>本谈判文件在济钢集团有限公司阳光购销平台（网址：</w:t>
            </w:r>
            <w:r>
              <w:rPr>
                <w:rFonts w:hint="eastAsia"/>
                <w:sz w:val="24"/>
                <w:szCs w:val="24"/>
              </w:rPr>
              <w:fldChar w:fldCharType="begin"/>
            </w:r>
            <w:r>
              <w:rPr>
                <w:sz w:val="24"/>
                <w:szCs w:val="24"/>
              </w:rPr>
              <w:instrText xml:space="preserve"> HYPERLINK "http://bidding.jigang.com.cn" </w:instrText>
            </w:r>
            <w:r>
              <w:rPr>
                <w:rFonts w:hint="eastAsia"/>
                <w:sz w:val="24"/>
                <w:szCs w:val="24"/>
              </w:rPr>
              <w:fldChar w:fldCharType="separate"/>
            </w:r>
            <w:r>
              <w:rPr>
                <w:rFonts w:hint="eastAsia"/>
                <w:sz w:val="24"/>
                <w:szCs w:val="24"/>
              </w:rPr>
              <w:t>http://bidding.jigang.com.cn</w:t>
            </w:r>
            <w:r>
              <w:rPr>
                <w:rFonts w:hint="eastAsia"/>
                <w:sz w:val="24"/>
                <w:szCs w:val="24"/>
              </w:rPr>
              <w:fldChar w:fldCharType="end"/>
            </w:r>
            <w:r>
              <w:rPr>
                <w:rFonts w:hint="eastAsia"/>
                <w:sz w:val="24"/>
                <w:szCs w:val="24"/>
              </w:rPr>
              <w:t>/） 上发布。除上述媒介以外的媒介转载或发布与本次谈判相关信息的，采购人不承担任何责任并保留追究相关方责任的权利。</w:t>
            </w:r>
          </w:p>
        </w:tc>
      </w:tr>
      <w:tr w14:paraId="2434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83D9059">
            <w:pPr>
              <w:jc w:val="center"/>
              <w:rPr>
                <w:sz w:val="24"/>
                <w:szCs w:val="24"/>
              </w:rPr>
            </w:pPr>
            <w:r>
              <w:rPr>
                <w:rFonts w:hint="eastAsia"/>
                <w:sz w:val="24"/>
                <w:szCs w:val="24"/>
              </w:rPr>
              <w:t>2.2.2</w:t>
            </w:r>
          </w:p>
        </w:tc>
        <w:tc>
          <w:tcPr>
            <w:tcW w:w="1660" w:type="dxa"/>
            <w:vAlign w:val="center"/>
          </w:tcPr>
          <w:p w14:paraId="0A6E7916">
            <w:pPr>
              <w:spacing w:line="442" w:lineRule="exact"/>
              <w:jc w:val="center"/>
              <w:rPr>
                <w:sz w:val="24"/>
                <w:szCs w:val="24"/>
              </w:rPr>
            </w:pPr>
            <w:r>
              <w:rPr>
                <w:rFonts w:hint="eastAsia"/>
                <w:sz w:val="24"/>
                <w:szCs w:val="24"/>
              </w:rPr>
              <w:t>谈判</w:t>
            </w:r>
            <w:r>
              <w:rPr>
                <w:sz w:val="24"/>
                <w:szCs w:val="24"/>
              </w:rPr>
              <w:t>文件的</w:t>
            </w:r>
            <w:r>
              <w:rPr>
                <w:rFonts w:hint="eastAsia"/>
                <w:sz w:val="24"/>
                <w:szCs w:val="24"/>
              </w:rPr>
              <w:t>澄清</w:t>
            </w:r>
          </w:p>
        </w:tc>
        <w:tc>
          <w:tcPr>
            <w:tcW w:w="7151" w:type="dxa"/>
            <w:gridSpan w:val="2"/>
            <w:tcBorders>
              <w:bottom w:val="single" w:color="auto" w:sz="4" w:space="0"/>
            </w:tcBorders>
            <w:vAlign w:val="center"/>
          </w:tcPr>
          <w:p w14:paraId="2D66352B">
            <w:pPr>
              <w:spacing w:line="398" w:lineRule="exact"/>
              <w:rPr>
                <w:sz w:val="24"/>
                <w:szCs w:val="24"/>
              </w:rPr>
            </w:pPr>
            <w:r>
              <w:rPr>
                <w:rFonts w:hint="eastAsia"/>
                <w:sz w:val="24"/>
                <w:szCs w:val="24"/>
              </w:rPr>
              <w:t>谈判</w:t>
            </w:r>
            <w:r>
              <w:rPr>
                <w:sz w:val="24"/>
                <w:szCs w:val="24"/>
              </w:rPr>
              <w:t>文件</w:t>
            </w:r>
            <w:r>
              <w:rPr>
                <w:rFonts w:hint="eastAsia"/>
                <w:sz w:val="24"/>
                <w:szCs w:val="24"/>
              </w:rPr>
              <w:t>澄清的</w:t>
            </w:r>
            <w:r>
              <w:rPr>
                <w:sz w:val="24"/>
                <w:szCs w:val="24"/>
              </w:rPr>
              <w:t>截止时间</w:t>
            </w:r>
            <w:r>
              <w:rPr>
                <w:rFonts w:hint="eastAsia"/>
                <w:sz w:val="24"/>
                <w:szCs w:val="24"/>
              </w:rPr>
              <w:t>为谈判开始前2</w:t>
            </w:r>
            <w:r>
              <w:rPr>
                <w:sz w:val="24"/>
                <w:szCs w:val="24"/>
              </w:rPr>
              <w:t>日</w:t>
            </w:r>
            <w:r>
              <w:rPr>
                <w:rFonts w:hint="eastAsia"/>
                <w:sz w:val="24"/>
                <w:szCs w:val="24"/>
              </w:rPr>
              <w:t>，在济钢集团有限公司阳光购销平台（网址：</w:t>
            </w:r>
            <w:r>
              <w:rPr>
                <w:rFonts w:hint="eastAsia"/>
                <w:sz w:val="24"/>
                <w:szCs w:val="24"/>
              </w:rPr>
              <w:fldChar w:fldCharType="begin"/>
            </w:r>
            <w:r>
              <w:rPr>
                <w:sz w:val="24"/>
                <w:szCs w:val="24"/>
              </w:rPr>
              <w:instrText xml:space="preserve"> HYPERLINK "http://bidding.jigang.com.cn" </w:instrText>
            </w:r>
            <w:r>
              <w:rPr>
                <w:rFonts w:hint="eastAsia"/>
                <w:sz w:val="24"/>
                <w:szCs w:val="24"/>
              </w:rPr>
              <w:fldChar w:fldCharType="separate"/>
            </w:r>
            <w:r>
              <w:rPr>
                <w:rFonts w:hint="eastAsia"/>
                <w:sz w:val="24"/>
                <w:szCs w:val="24"/>
              </w:rPr>
              <w:t>http://bidding.jigang.com.cn</w:t>
            </w:r>
            <w:r>
              <w:rPr>
                <w:rFonts w:hint="eastAsia"/>
                <w:sz w:val="24"/>
                <w:szCs w:val="24"/>
              </w:rPr>
              <w:fldChar w:fldCharType="end"/>
            </w:r>
            <w:r>
              <w:rPr>
                <w:rFonts w:hint="eastAsia"/>
                <w:sz w:val="24"/>
                <w:szCs w:val="24"/>
              </w:rPr>
              <w:t>/） 上发布</w:t>
            </w:r>
          </w:p>
        </w:tc>
      </w:tr>
      <w:tr w14:paraId="6069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0570987">
            <w:pPr>
              <w:jc w:val="center"/>
              <w:rPr>
                <w:sz w:val="24"/>
                <w:szCs w:val="24"/>
              </w:rPr>
            </w:pPr>
            <w:r>
              <w:rPr>
                <w:rFonts w:hint="eastAsia"/>
                <w:sz w:val="24"/>
                <w:szCs w:val="24"/>
              </w:rPr>
              <w:t>2.3</w:t>
            </w:r>
          </w:p>
        </w:tc>
        <w:tc>
          <w:tcPr>
            <w:tcW w:w="1660" w:type="dxa"/>
            <w:vAlign w:val="center"/>
          </w:tcPr>
          <w:p w14:paraId="5DC0F208">
            <w:pPr>
              <w:spacing w:line="360" w:lineRule="exact"/>
              <w:jc w:val="center"/>
              <w:rPr>
                <w:sz w:val="24"/>
                <w:szCs w:val="24"/>
              </w:rPr>
            </w:pPr>
            <w:r>
              <w:rPr>
                <w:rFonts w:hint="eastAsia"/>
                <w:sz w:val="24"/>
                <w:szCs w:val="24"/>
              </w:rPr>
              <w:t>谈判</w:t>
            </w:r>
            <w:r>
              <w:rPr>
                <w:sz w:val="24"/>
                <w:szCs w:val="24"/>
              </w:rPr>
              <w:t>文件</w:t>
            </w:r>
            <w:r>
              <w:rPr>
                <w:rFonts w:hint="eastAsia"/>
                <w:sz w:val="24"/>
                <w:szCs w:val="24"/>
              </w:rPr>
              <w:t>的</w:t>
            </w:r>
            <w:r>
              <w:rPr>
                <w:sz w:val="24"/>
                <w:szCs w:val="24"/>
              </w:rPr>
              <w:t>修改</w:t>
            </w:r>
          </w:p>
        </w:tc>
        <w:tc>
          <w:tcPr>
            <w:tcW w:w="7151" w:type="dxa"/>
            <w:gridSpan w:val="2"/>
            <w:tcBorders>
              <w:bottom w:val="single" w:color="auto" w:sz="4" w:space="0"/>
            </w:tcBorders>
            <w:vAlign w:val="center"/>
          </w:tcPr>
          <w:p w14:paraId="58323F1A">
            <w:pPr>
              <w:spacing w:line="398" w:lineRule="exact"/>
              <w:rPr>
                <w:sz w:val="24"/>
                <w:szCs w:val="24"/>
              </w:rPr>
            </w:pPr>
            <w:r>
              <w:rPr>
                <w:rFonts w:hint="eastAsia"/>
                <w:sz w:val="24"/>
                <w:szCs w:val="24"/>
              </w:rPr>
              <w:t>谈判文件修改的截止时间为谈判开始前2日，在济钢集团有限公司阳光购销平台（网址：</w:t>
            </w:r>
            <w:r>
              <w:rPr>
                <w:rFonts w:hint="eastAsia"/>
                <w:sz w:val="24"/>
                <w:szCs w:val="24"/>
              </w:rPr>
              <w:fldChar w:fldCharType="begin"/>
            </w:r>
            <w:r>
              <w:rPr>
                <w:sz w:val="24"/>
                <w:szCs w:val="24"/>
              </w:rPr>
              <w:instrText xml:space="preserve"> HYPERLINK "http://bidding.jigang.com.cn" </w:instrText>
            </w:r>
            <w:r>
              <w:rPr>
                <w:rFonts w:hint="eastAsia"/>
                <w:sz w:val="24"/>
                <w:szCs w:val="24"/>
              </w:rPr>
              <w:fldChar w:fldCharType="separate"/>
            </w:r>
            <w:r>
              <w:rPr>
                <w:rFonts w:hint="eastAsia"/>
                <w:sz w:val="24"/>
                <w:szCs w:val="24"/>
              </w:rPr>
              <w:t>http://bidding.jigang.com.cn</w:t>
            </w:r>
            <w:r>
              <w:rPr>
                <w:rFonts w:hint="eastAsia"/>
                <w:sz w:val="24"/>
                <w:szCs w:val="24"/>
              </w:rPr>
              <w:fldChar w:fldCharType="end"/>
            </w:r>
            <w:r>
              <w:rPr>
                <w:rFonts w:hint="eastAsia"/>
                <w:sz w:val="24"/>
                <w:szCs w:val="24"/>
              </w:rPr>
              <w:t>/） 上发布。采购人对谈判文件修改距谈判时间不足2天的，相应延长谈判开始时间。</w:t>
            </w:r>
          </w:p>
        </w:tc>
      </w:tr>
      <w:tr w14:paraId="5967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50E7F1D3">
            <w:pPr>
              <w:jc w:val="center"/>
              <w:rPr>
                <w:sz w:val="24"/>
                <w:szCs w:val="24"/>
              </w:rPr>
            </w:pPr>
            <w:r>
              <w:rPr>
                <w:rFonts w:hint="eastAsia"/>
                <w:sz w:val="24"/>
                <w:szCs w:val="24"/>
              </w:rPr>
              <w:t>2.1.5</w:t>
            </w:r>
          </w:p>
        </w:tc>
        <w:tc>
          <w:tcPr>
            <w:tcW w:w="1660" w:type="dxa"/>
            <w:vAlign w:val="center"/>
          </w:tcPr>
          <w:p w14:paraId="77B67145">
            <w:pPr>
              <w:spacing w:line="360" w:lineRule="exact"/>
              <w:rPr>
                <w:sz w:val="24"/>
                <w:szCs w:val="24"/>
              </w:rPr>
            </w:pPr>
            <w:r>
              <w:rPr>
                <w:rFonts w:hint="eastAsia"/>
                <w:sz w:val="24"/>
                <w:szCs w:val="24"/>
              </w:rPr>
              <w:t>构成谈判文件的其他材料</w:t>
            </w:r>
          </w:p>
        </w:tc>
        <w:tc>
          <w:tcPr>
            <w:tcW w:w="7151" w:type="dxa"/>
            <w:gridSpan w:val="2"/>
            <w:tcBorders>
              <w:bottom w:val="single" w:color="auto" w:sz="4" w:space="0"/>
            </w:tcBorders>
            <w:vAlign w:val="center"/>
          </w:tcPr>
          <w:p w14:paraId="160AF1F0">
            <w:pPr>
              <w:spacing w:line="340" w:lineRule="exact"/>
              <w:rPr>
                <w:sz w:val="24"/>
                <w:szCs w:val="24"/>
              </w:rPr>
            </w:pPr>
            <w:r>
              <w:rPr>
                <w:rFonts w:hint="eastAsia"/>
                <w:sz w:val="24"/>
                <w:szCs w:val="24"/>
              </w:rPr>
              <w:t>谈判文件澄清、答疑、补充文件等</w:t>
            </w:r>
          </w:p>
        </w:tc>
      </w:tr>
      <w:tr w14:paraId="145A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67F9614B">
            <w:pPr>
              <w:jc w:val="center"/>
              <w:rPr>
                <w:sz w:val="24"/>
                <w:szCs w:val="24"/>
              </w:rPr>
            </w:pPr>
            <w:r>
              <w:rPr>
                <w:rFonts w:hint="eastAsia"/>
                <w:sz w:val="24"/>
                <w:szCs w:val="24"/>
              </w:rPr>
              <w:t>3.1.1</w:t>
            </w:r>
          </w:p>
        </w:tc>
        <w:tc>
          <w:tcPr>
            <w:tcW w:w="1660" w:type="dxa"/>
            <w:vAlign w:val="center"/>
          </w:tcPr>
          <w:p w14:paraId="7F457F52">
            <w:pPr>
              <w:spacing w:line="360" w:lineRule="exact"/>
              <w:jc w:val="center"/>
              <w:rPr>
                <w:sz w:val="24"/>
                <w:szCs w:val="24"/>
              </w:rPr>
            </w:pPr>
            <w:r>
              <w:rPr>
                <w:rFonts w:hint="eastAsia"/>
                <w:sz w:val="24"/>
                <w:szCs w:val="24"/>
              </w:rPr>
              <w:t>响应文件内容</w:t>
            </w:r>
          </w:p>
        </w:tc>
        <w:tc>
          <w:tcPr>
            <w:tcW w:w="7151" w:type="dxa"/>
            <w:gridSpan w:val="2"/>
            <w:tcBorders>
              <w:bottom w:val="single" w:color="auto" w:sz="4" w:space="0"/>
            </w:tcBorders>
            <w:vAlign w:val="center"/>
          </w:tcPr>
          <w:p w14:paraId="151D746E">
            <w:pPr>
              <w:spacing w:line="340" w:lineRule="exact"/>
              <w:rPr>
                <w:sz w:val="24"/>
                <w:szCs w:val="24"/>
              </w:rPr>
            </w:pPr>
            <w:r>
              <w:rPr>
                <w:rFonts w:hint="eastAsia"/>
                <w:sz w:val="24"/>
                <w:szCs w:val="24"/>
              </w:rPr>
              <w:t>谈判文件商务、技术部分内容</w:t>
            </w:r>
          </w:p>
        </w:tc>
      </w:tr>
      <w:tr w14:paraId="387B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shd w:val="clear" w:color="auto" w:fill="auto"/>
            <w:vAlign w:val="center"/>
          </w:tcPr>
          <w:p w14:paraId="1EC2FCDA">
            <w:pPr>
              <w:jc w:val="center"/>
              <w:rPr>
                <w:sz w:val="24"/>
                <w:szCs w:val="24"/>
              </w:rPr>
            </w:pPr>
            <w:r>
              <w:rPr>
                <w:rFonts w:hint="eastAsia"/>
                <w:sz w:val="24"/>
                <w:szCs w:val="24"/>
              </w:rPr>
              <w:t>3.2.1</w:t>
            </w:r>
          </w:p>
        </w:tc>
        <w:tc>
          <w:tcPr>
            <w:tcW w:w="1660" w:type="dxa"/>
            <w:shd w:val="clear" w:color="auto" w:fill="auto"/>
            <w:vAlign w:val="center"/>
          </w:tcPr>
          <w:p w14:paraId="6E99184C">
            <w:pPr>
              <w:spacing w:line="340" w:lineRule="exact"/>
              <w:jc w:val="center"/>
              <w:rPr>
                <w:sz w:val="24"/>
                <w:szCs w:val="24"/>
              </w:rPr>
            </w:pPr>
            <w:r>
              <w:rPr>
                <w:rFonts w:hint="eastAsia"/>
                <w:sz w:val="24"/>
                <w:szCs w:val="24"/>
              </w:rPr>
              <w:t>报价</w:t>
            </w:r>
          </w:p>
        </w:tc>
        <w:tc>
          <w:tcPr>
            <w:tcW w:w="7151" w:type="dxa"/>
            <w:gridSpan w:val="2"/>
            <w:shd w:val="clear" w:color="auto" w:fill="FFFFFF"/>
            <w:vAlign w:val="center"/>
          </w:tcPr>
          <w:p w14:paraId="5AC0556C">
            <w:pPr>
              <w:spacing w:line="340" w:lineRule="exact"/>
              <w:rPr>
                <w:sz w:val="24"/>
                <w:szCs w:val="24"/>
              </w:rPr>
            </w:pPr>
            <w:r>
              <w:rPr>
                <w:rFonts w:hint="eastAsia"/>
                <w:sz w:val="24"/>
                <w:szCs w:val="24"/>
              </w:rPr>
              <w:t xml:space="preserve">1.报价方式：总价。 </w:t>
            </w:r>
          </w:p>
          <w:p w14:paraId="017F7EC8">
            <w:pPr>
              <w:spacing w:line="340" w:lineRule="exact"/>
              <w:rPr>
                <w:sz w:val="24"/>
                <w:szCs w:val="24"/>
              </w:rPr>
            </w:pPr>
            <w:r>
              <w:rPr>
                <w:rFonts w:hint="eastAsia"/>
                <w:sz w:val="24"/>
                <w:szCs w:val="24"/>
              </w:rPr>
              <w:t>2.报价币种：人民币。</w:t>
            </w:r>
          </w:p>
          <w:p w14:paraId="0D73D764">
            <w:pPr>
              <w:spacing w:line="340" w:lineRule="exact"/>
              <w:rPr>
                <w:sz w:val="24"/>
                <w:szCs w:val="24"/>
              </w:rPr>
            </w:pPr>
            <w:r>
              <w:rPr>
                <w:rFonts w:hint="eastAsia"/>
                <w:sz w:val="24"/>
                <w:szCs w:val="24"/>
              </w:rPr>
              <w:t>3.报价为含6%增值税价格。</w:t>
            </w:r>
          </w:p>
        </w:tc>
      </w:tr>
      <w:tr w14:paraId="3910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3650E276">
            <w:pPr>
              <w:jc w:val="center"/>
              <w:rPr>
                <w:sz w:val="24"/>
                <w:szCs w:val="24"/>
              </w:rPr>
            </w:pPr>
            <w:r>
              <w:rPr>
                <w:rFonts w:hint="eastAsia"/>
                <w:sz w:val="24"/>
                <w:szCs w:val="24"/>
              </w:rPr>
              <w:t>3.3.1</w:t>
            </w:r>
          </w:p>
        </w:tc>
        <w:tc>
          <w:tcPr>
            <w:tcW w:w="1660" w:type="dxa"/>
            <w:vAlign w:val="center"/>
          </w:tcPr>
          <w:p w14:paraId="45F61145">
            <w:pPr>
              <w:spacing w:line="360" w:lineRule="exact"/>
              <w:jc w:val="center"/>
              <w:rPr>
                <w:sz w:val="24"/>
                <w:szCs w:val="24"/>
              </w:rPr>
            </w:pPr>
            <w:r>
              <w:rPr>
                <w:rFonts w:hint="eastAsia"/>
                <w:sz w:val="24"/>
                <w:szCs w:val="24"/>
              </w:rPr>
              <w:t>谈判有效期</w:t>
            </w:r>
          </w:p>
        </w:tc>
        <w:tc>
          <w:tcPr>
            <w:tcW w:w="7151" w:type="dxa"/>
            <w:gridSpan w:val="2"/>
            <w:vAlign w:val="center"/>
          </w:tcPr>
          <w:p w14:paraId="7AA0C1CD">
            <w:pPr>
              <w:spacing w:line="340" w:lineRule="exact"/>
              <w:rPr>
                <w:sz w:val="24"/>
                <w:szCs w:val="24"/>
              </w:rPr>
            </w:pPr>
            <w:r>
              <w:rPr>
                <w:rFonts w:hint="eastAsia"/>
                <w:sz w:val="24"/>
                <w:szCs w:val="24"/>
              </w:rPr>
              <w:t>90日历天（自</w:t>
            </w:r>
            <w:r>
              <w:rPr>
                <w:sz w:val="24"/>
                <w:szCs w:val="24"/>
              </w:rPr>
              <w:t>递交</w:t>
            </w:r>
            <w:r>
              <w:rPr>
                <w:rFonts w:hint="eastAsia"/>
                <w:sz w:val="24"/>
                <w:szCs w:val="24"/>
              </w:rPr>
              <w:t>响应</w:t>
            </w:r>
            <w:r>
              <w:rPr>
                <w:sz w:val="24"/>
                <w:szCs w:val="24"/>
              </w:rPr>
              <w:t>文件截止</w:t>
            </w:r>
            <w:r>
              <w:rPr>
                <w:rFonts w:hint="eastAsia"/>
                <w:sz w:val="24"/>
                <w:szCs w:val="24"/>
              </w:rPr>
              <w:t>之日起）</w:t>
            </w:r>
          </w:p>
        </w:tc>
      </w:tr>
      <w:tr w14:paraId="3683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7C4B287E">
            <w:pPr>
              <w:jc w:val="center"/>
              <w:rPr>
                <w:sz w:val="24"/>
                <w:szCs w:val="24"/>
              </w:rPr>
            </w:pPr>
            <w:r>
              <w:rPr>
                <w:rFonts w:hint="eastAsia"/>
                <w:sz w:val="24"/>
                <w:szCs w:val="24"/>
              </w:rPr>
              <w:t>3.4</w:t>
            </w:r>
          </w:p>
        </w:tc>
        <w:tc>
          <w:tcPr>
            <w:tcW w:w="1660" w:type="dxa"/>
            <w:vAlign w:val="center"/>
          </w:tcPr>
          <w:p w14:paraId="3EB48658">
            <w:pPr>
              <w:spacing w:line="360" w:lineRule="exact"/>
              <w:jc w:val="center"/>
              <w:rPr>
                <w:sz w:val="24"/>
                <w:szCs w:val="24"/>
              </w:rPr>
            </w:pPr>
            <w:r>
              <w:rPr>
                <w:rFonts w:hint="eastAsia"/>
                <w:sz w:val="24"/>
                <w:szCs w:val="24"/>
              </w:rPr>
              <w:t>谈判保证金</w:t>
            </w:r>
          </w:p>
        </w:tc>
        <w:tc>
          <w:tcPr>
            <w:tcW w:w="7151" w:type="dxa"/>
            <w:gridSpan w:val="2"/>
            <w:vAlign w:val="center"/>
          </w:tcPr>
          <w:p w14:paraId="59444DCA">
            <w:pPr>
              <w:spacing w:line="400" w:lineRule="auto"/>
              <w:jc w:val="left"/>
              <w:rPr>
                <w:rFonts w:ascii="宋体" w:hAnsi="宋体" w:cs="宋体"/>
                <w:sz w:val="24"/>
                <w:szCs w:val="24"/>
              </w:rPr>
            </w:pPr>
            <w:r>
              <w:rPr>
                <w:rFonts w:hint="eastAsia" w:ascii="宋体" w:hAnsi="宋体" w:cs="宋体"/>
                <w:sz w:val="24"/>
                <w:szCs w:val="24"/>
              </w:rPr>
              <w:t>肆仟元整（￥4000）（汇款时备注</w:t>
            </w:r>
            <w:r>
              <w:rPr>
                <w:rFonts w:hint="eastAsia" w:ascii="宋体" w:hAnsi="宋体" w:cs="宋体"/>
                <w:sz w:val="24"/>
                <w:szCs w:val="24"/>
                <w:lang w:val="en-US" w:eastAsia="zh-CN"/>
              </w:rPr>
              <w:t>采购</w:t>
            </w:r>
            <w:r>
              <w:rPr>
                <w:rFonts w:hint="eastAsia" w:ascii="宋体" w:hAnsi="宋体" w:cs="宋体"/>
                <w:sz w:val="24"/>
                <w:szCs w:val="24"/>
              </w:rPr>
              <w:t xml:space="preserve">名称），该保证金在2025年 </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4</w:t>
            </w:r>
            <w:r>
              <w:rPr>
                <w:rFonts w:hint="eastAsia" w:ascii="宋体" w:hAnsi="宋体" w:cs="宋体"/>
                <w:sz w:val="24"/>
                <w:szCs w:val="24"/>
              </w:rPr>
              <w:t>日前交纳。</w:t>
            </w:r>
            <w:r>
              <w:rPr>
                <w:rFonts w:hint="eastAsia" w:ascii="宋体" w:hAnsi="宋体" w:cs="宋体"/>
                <w:sz w:val="24"/>
                <w:szCs w:val="24"/>
                <w:lang w:val="en-US" w:eastAsia="zh-CN"/>
              </w:rPr>
              <w:t>评审</w:t>
            </w:r>
            <w:r>
              <w:rPr>
                <w:rFonts w:hint="eastAsia" w:ascii="宋体" w:hAnsi="宋体" w:cs="宋体"/>
                <w:sz w:val="24"/>
                <w:szCs w:val="24"/>
              </w:rPr>
              <w:t>结束30个工作日内，采购人将该保证金退还原汇款账户。</w:t>
            </w:r>
          </w:p>
          <w:p w14:paraId="057FF6B1">
            <w:pPr>
              <w:spacing w:line="360" w:lineRule="auto"/>
              <w:rPr>
                <w:rFonts w:ascii="宋体" w:hAnsi="宋体" w:cs="宋体"/>
                <w:sz w:val="24"/>
                <w:szCs w:val="24"/>
              </w:rPr>
            </w:pPr>
            <w:r>
              <w:rPr>
                <w:rFonts w:hint="eastAsia" w:ascii="宋体" w:hAnsi="宋体" w:cs="宋体"/>
                <w:sz w:val="24"/>
                <w:szCs w:val="24"/>
              </w:rPr>
              <w:t>收款账户：山东济钢环保新材料有限公司</w:t>
            </w:r>
          </w:p>
          <w:p w14:paraId="434FBE8C">
            <w:pPr>
              <w:spacing w:line="360" w:lineRule="auto"/>
              <w:rPr>
                <w:rFonts w:ascii="宋体" w:hAnsi="宋体" w:cs="宋体"/>
                <w:sz w:val="24"/>
                <w:szCs w:val="24"/>
              </w:rPr>
            </w:pPr>
            <w:r>
              <w:rPr>
                <w:rFonts w:hint="eastAsia" w:ascii="宋体" w:hAnsi="宋体" w:cs="宋体"/>
                <w:sz w:val="24"/>
                <w:szCs w:val="24"/>
              </w:rPr>
              <w:t>开户行：齐鲁银行股份有限公司济南济钢支行</w:t>
            </w:r>
          </w:p>
          <w:p w14:paraId="5D349D10">
            <w:pPr>
              <w:spacing w:line="360" w:lineRule="auto"/>
              <w:rPr>
                <w:rFonts w:ascii="宋体" w:hAnsi="宋体" w:cs="宋体"/>
                <w:sz w:val="24"/>
                <w:szCs w:val="24"/>
              </w:rPr>
            </w:pPr>
            <w:r>
              <w:rPr>
                <w:rFonts w:hint="eastAsia" w:ascii="宋体" w:hAnsi="宋体" w:cs="宋体"/>
                <w:sz w:val="24"/>
                <w:szCs w:val="24"/>
              </w:rPr>
              <w:t>账号：8661 1760 1014 2100 9407</w:t>
            </w:r>
          </w:p>
          <w:p w14:paraId="2D897F7B">
            <w:pPr>
              <w:spacing w:line="340" w:lineRule="exact"/>
              <w:rPr>
                <w:sz w:val="24"/>
                <w:szCs w:val="24"/>
              </w:rPr>
            </w:pPr>
            <w:r>
              <w:rPr>
                <w:rFonts w:hint="eastAsia" w:ascii="宋体" w:hAnsi="宋体" w:cs="宋体"/>
                <w:sz w:val="24"/>
                <w:szCs w:val="24"/>
              </w:rPr>
              <w:t>行号：313451007609</w:t>
            </w:r>
          </w:p>
        </w:tc>
      </w:tr>
      <w:tr w14:paraId="458A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AE67CF7">
            <w:pPr>
              <w:jc w:val="center"/>
              <w:rPr>
                <w:sz w:val="24"/>
                <w:szCs w:val="24"/>
              </w:rPr>
            </w:pPr>
            <w:r>
              <w:rPr>
                <w:rFonts w:hint="eastAsia"/>
                <w:sz w:val="24"/>
                <w:szCs w:val="24"/>
              </w:rPr>
              <w:t>3.5.1</w:t>
            </w:r>
          </w:p>
        </w:tc>
        <w:tc>
          <w:tcPr>
            <w:tcW w:w="1660" w:type="dxa"/>
            <w:vAlign w:val="center"/>
          </w:tcPr>
          <w:p w14:paraId="551EC7CA">
            <w:pPr>
              <w:spacing w:line="240" w:lineRule="auto"/>
              <w:jc w:val="center"/>
              <w:rPr>
                <w:sz w:val="24"/>
                <w:szCs w:val="24"/>
              </w:rPr>
            </w:pPr>
            <w:r>
              <w:rPr>
                <w:rFonts w:hint="eastAsia" w:ascii="宋体" w:hAnsi="宋体" w:cs="宋体"/>
                <w:sz w:val="24"/>
                <w:szCs w:val="24"/>
              </w:rPr>
              <w:t>资格审查</w:t>
            </w:r>
          </w:p>
        </w:tc>
        <w:tc>
          <w:tcPr>
            <w:tcW w:w="7151" w:type="dxa"/>
            <w:gridSpan w:val="2"/>
            <w:vAlign w:val="center"/>
          </w:tcPr>
          <w:p w14:paraId="39F613AD">
            <w:pPr>
              <w:spacing w:line="240" w:lineRule="auto"/>
              <w:jc w:val="left"/>
              <w:rPr>
                <w:sz w:val="24"/>
                <w:szCs w:val="24"/>
              </w:rPr>
            </w:pPr>
            <w:r>
              <w:rPr>
                <w:sz w:val="24"/>
                <w:szCs w:val="24"/>
              </w:rPr>
              <w:t>1、</w:t>
            </w:r>
            <w:r>
              <w:rPr>
                <w:rFonts w:hint="eastAsia"/>
                <w:sz w:val="24"/>
                <w:szCs w:val="24"/>
                <w:lang w:val="en-US" w:eastAsia="zh-CN"/>
              </w:rPr>
              <w:t>评审小组对供应商的资格审查文件（电子版）进行评审。评审合格的进入下一阶段评审</w:t>
            </w:r>
            <w:r>
              <w:rPr>
                <w:sz w:val="24"/>
                <w:szCs w:val="24"/>
              </w:rPr>
              <w:t>；</w:t>
            </w:r>
            <w:r>
              <w:rPr>
                <w:rFonts w:hint="eastAsia"/>
                <w:sz w:val="24"/>
                <w:szCs w:val="24"/>
                <w:lang w:val="en-US" w:eastAsia="zh-CN"/>
              </w:rPr>
              <w:t>评审</w:t>
            </w:r>
            <w:r>
              <w:rPr>
                <w:sz w:val="24"/>
                <w:szCs w:val="24"/>
              </w:rPr>
              <w:t>不合格的</w:t>
            </w:r>
            <w:r>
              <w:rPr>
                <w:rFonts w:hint="eastAsia"/>
                <w:sz w:val="24"/>
                <w:szCs w:val="24"/>
              </w:rPr>
              <w:t>取消其资格</w:t>
            </w:r>
            <w:r>
              <w:rPr>
                <w:sz w:val="24"/>
                <w:szCs w:val="24"/>
              </w:rPr>
              <w:t>，</w:t>
            </w:r>
            <w:r>
              <w:rPr>
                <w:rFonts w:hint="eastAsia"/>
                <w:sz w:val="24"/>
                <w:szCs w:val="24"/>
              </w:rPr>
              <w:t>购买</w:t>
            </w:r>
            <w:r>
              <w:rPr>
                <w:rFonts w:hint="eastAsia"/>
                <w:sz w:val="24"/>
                <w:szCs w:val="24"/>
                <w:lang w:val="en-US" w:eastAsia="zh-CN"/>
              </w:rPr>
              <w:t>谈判</w:t>
            </w:r>
            <w:r>
              <w:rPr>
                <w:rFonts w:hint="eastAsia"/>
                <w:sz w:val="24"/>
                <w:szCs w:val="24"/>
              </w:rPr>
              <w:t>文件的费用</w:t>
            </w:r>
            <w:r>
              <w:rPr>
                <w:sz w:val="24"/>
                <w:szCs w:val="24"/>
              </w:rPr>
              <w:t>不退。</w:t>
            </w:r>
          </w:p>
          <w:p w14:paraId="06D27FBD">
            <w:pPr>
              <w:spacing w:line="240" w:lineRule="auto"/>
              <w:rPr>
                <w:sz w:val="24"/>
                <w:szCs w:val="24"/>
              </w:rPr>
            </w:pPr>
            <w:r>
              <w:rPr>
                <w:sz w:val="24"/>
                <w:szCs w:val="24"/>
              </w:rPr>
              <w:t>2、</w:t>
            </w:r>
            <w:r>
              <w:rPr>
                <w:rFonts w:hint="eastAsia"/>
                <w:sz w:val="24"/>
                <w:szCs w:val="24"/>
                <w:lang w:val="en-US" w:eastAsia="zh-CN"/>
              </w:rPr>
              <w:t>制作资格审查文件（电子版）后，</w:t>
            </w:r>
            <w:r>
              <w:rPr>
                <w:rFonts w:hint="eastAsia" w:eastAsia="宋体" w:cs="Times New Roman"/>
                <w:sz w:val="24"/>
                <w:szCs w:val="24"/>
                <w:lang w:val="en-US" w:eastAsia="zh-CN"/>
              </w:rPr>
              <w:t>在2025年7月7日上午9点，上传报名网站</w:t>
            </w:r>
          </w:p>
        </w:tc>
      </w:tr>
      <w:tr w14:paraId="4E16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6A1AF841">
            <w:pPr>
              <w:jc w:val="center"/>
              <w:rPr>
                <w:sz w:val="24"/>
                <w:szCs w:val="24"/>
              </w:rPr>
            </w:pPr>
            <w:r>
              <w:rPr>
                <w:rFonts w:hint="eastAsia"/>
                <w:sz w:val="24"/>
                <w:szCs w:val="24"/>
              </w:rPr>
              <w:t>3.6.1</w:t>
            </w:r>
          </w:p>
        </w:tc>
        <w:tc>
          <w:tcPr>
            <w:tcW w:w="1660" w:type="dxa"/>
            <w:vAlign w:val="center"/>
          </w:tcPr>
          <w:p w14:paraId="711E6D11">
            <w:pPr>
              <w:spacing w:line="360" w:lineRule="exact"/>
              <w:rPr>
                <w:sz w:val="24"/>
                <w:szCs w:val="24"/>
              </w:rPr>
            </w:pPr>
            <w:r>
              <w:rPr>
                <w:rFonts w:hint="eastAsia"/>
                <w:sz w:val="24"/>
                <w:szCs w:val="24"/>
              </w:rPr>
              <w:t>近3年财务状况的年份要求</w:t>
            </w:r>
          </w:p>
        </w:tc>
        <w:tc>
          <w:tcPr>
            <w:tcW w:w="7151" w:type="dxa"/>
            <w:gridSpan w:val="2"/>
            <w:vAlign w:val="center"/>
          </w:tcPr>
          <w:p w14:paraId="2627A8D5">
            <w:pPr>
              <w:spacing w:line="340" w:lineRule="exact"/>
              <w:rPr>
                <w:sz w:val="24"/>
                <w:szCs w:val="24"/>
              </w:rPr>
            </w:pPr>
            <w:r>
              <w:rPr>
                <w:rFonts w:hint="eastAsia"/>
                <w:sz w:val="24"/>
                <w:szCs w:val="24"/>
              </w:rPr>
              <w:t>2022年01月01日至今。</w:t>
            </w:r>
          </w:p>
        </w:tc>
      </w:tr>
      <w:tr w14:paraId="4CD8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01FF85FE">
            <w:pPr>
              <w:jc w:val="center"/>
              <w:rPr>
                <w:sz w:val="24"/>
                <w:szCs w:val="24"/>
              </w:rPr>
            </w:pPr>
            <w:r>
              <w:rPr>
                <w:rFonts w:hint="eastAsia"/>
                <w:sz w:val="24"/>
                <w:szCs w:val="24"/>
              </w:rPr>
              <w:t>3.6.2</w:t>
            </w:r>
          </w:p>
        </w:tc>
        <w:tc>
          <w:tcPr>
            <w:tcW w:w="1660" w:type="dxa"/>
            <w:vAlign w:val="center"/>
          </w:tcPr>
          <w:p w14:paraId="71398D75">
            <w:pPr>
              <w:spacing w:line="360" w:lineRule="exact"/>
              <w:rPr>
                <w:sz w:val="24"/>
                <w:szCs w:val="24"/>
              </w:rPr>
            </w:pPr>
            <w:r>
              <w:rPr>
                <w:rFonts w:hint="eastAsia"/>
                <w:sz w:val="24"/>
                <w:szCs w:val="24"/>
              </w:rPr>
              <w:t>近3年完成的类似项目</w:t>
            </w:r>
          </w:p>
        </w:tc>
        <w:tc>
          <w:tcPr>
            <w:tcW w:w="7151" w:type="dxa"/>
            <w:gridSpan w:val="2"/>
            <w:vAlign w:val="center"/>
          </w:tcPr>
          <w:p w14:paraId="02D7CEBE">
            <w:pPr>
              <w:spacing w:line="340" w:lineRule="exact"/>
              <w:rPr>
                <w:sz w:val="24"/>
                <w:szCs w:val="24"/>
              </w:rPr>
            </w:pPr>
            <w:r>
              <w:rPr>
                <w:rFonts w:hint="eastAsia"/>
                <w:sz w:val="24"/>
                <w:szCs w:val="24"/>
              </w:rPr>
              <w:t>2022年01月01日至今。</w:t>
            </w:r>
          </w:p>
        </w:tc>
      </w:tr>
      <w:tr w14:paraId="0B69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CE2C4FD">
            <w:pPr>
              <w:jc w:val="center"/>
              <w:rPr>
                <w:sz w:val="24"/>
                <w:szCs w:val="24"/>
              </w:rPr>
            </w:pPr>
            <w:r>
              <w:rPr>
                <w:rFonts w:hint="eastAsia"/>
                <w:sz w:val="24"/>
                <w:szCs w:val="24"/>
              </w:rPr>
              <w:t>3.6.3</w:t>
            </w:r>
          </w:p>
        </w:tc>
        <w:tc>
          <w:tcPr>
            <w:tcW w:w="1660" w:type="dxa"/>
            <w:vAlign w:val="center"/>
          </w:tcPr>
          <w:p w14:paraId="218E1828">
            <w:pPr>
              <w:spacing w:line="360" w:lineRule="exact"/>
              <w:rPr>
                <w:sz w:val="24"/>
                <w:szCs w:val="24"/>
              </w:rPr>
            </w:pPr>
            <w:r>
              <w:rPr>
                <w:rFonts w:hint="eastAsia"/>
                <w:sz w:val="24"/>
                <w:szCs w:val="24"/>
              </w:rPr>
              <w:t>近3年发生的诉讼及仲裁情况的年份要求</w:t>
            </w:r>
          </w:p>
        </w:tc>
        <w:tc>
          <w:tcPr>
            <w:tcW w:w="7151" w:type="dxa"/>
            <w:gridSpan w:val="2"/>
            <w:vAlign w:val="center"/>
          </w:tcPr>
          <w:p w14:paraId="57D1284F">
            <w:pPr>
              <w:spacing w:line="340" w:lineRule="exact"/>
              <w:rPr>
                <w:sz w:val="24"/>
                <w:szCs w:val="24"/>
              </w:rPr>
            </w:pPr>
            <w:r>
              <w:rPr>
                <w:rFonts w:hint="eastAsia"/>
                <w:sz w:val="24"/>
                <w:szCs w:val="24"/>
              </w:rPr>
              <w:t>2022年01月01日至今。</w:t>
            </w:r>
          </w:p>
        </w:tc>
      </w:tr>
      <w:tr w14:paraId="0F63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58" w:type="dxa"/>
            <w:vAlign w:val="center"/>
          </w:tcPr>
          <w:p w14:paraId="00EAD861">
            <w:pPr>
              <w:jc w:val="center"/>
              <w:rPr>
                <w:sz w:val="24"/>
                <w:szCs w:val="24"/>
              </w:rPr>
            </w:pPr>
            <w:r>
              <w:rPr>
                <w:rFonts w:hint="eastAsia"/>
                <w:sz w:val="24"/>
                <w:szCs w:val="24"/>
              </w:rPr>
              <w:t>3.7.1</w:t>
            </w:r>
          </w:p>
        </w:tc>
        <w:tc>
          <w:tcPr>
            <w:tcW w:w="1660" w:type="dxa"/>
            <w:vAlign w:val="center"/>
          </w:tcPr>
          <w:p w14:paraId="70088159">
            <w:pPr>
              <w:spacing w:line="360" w:lineRule="exact"/>
              <w:jc w:val="center"/>
              <w:rPr>
                <w:sz w:val="24"/>
                <w:szCs w:val="24"/>
              </w:rPr>
            </w:pPr>
            <w:r>
              <w:rPr>
                <w:rFonts w:hint="eastAsia"/>
                <w:sz w:val="24"/>
                <w:szCs w:val="24"/>
              </w:rPr>
              <w:t>签字或盖章要求</w:t>
            </w:r>
          </w:p>
        </w:tc>
        <w:tc>
          <w:tcPr>
            <w:tcW w:w="7151" w:type="dxa"/>
            <w:gridSpan w:val="2"/>
            <w:vAlign w:val="center"/>
          </w:tcPr>
          <w:p w14:paraId="1F857CC6">
            <w:pPr>
              <w:spacing w:line="340" w:lineRule="exact"/>
              <w:rPr>
                <w:sz w:val="24"/>
                <w:szCs w:val="24"/>
              </w:rPr>
            </w:pPr>
            <w:r>
              <w:rPr>
                <w:rFonts w:hint="eastAsia"/>
                <w:sz w:val="24"/>
                <w:szCs w:val="24"/>
              </w:rPr>
              <w:t>响应文件应按第五章“响应文件格式及内容”要求进行签字或盖章，否则其响应文件按照无效处理。</w:t>
            </w:r>
          </w:p>
        </w:tc>
      </w:tr>
      <w:tr w14:paraId="5602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14:paraId="10693B68">
            <w:pPr>
              <w:jc w:val="center"/>
              <w:rPr>
                <w:sz w:val="24"/>
                <w:szCs w:val="24"/>
              </w:rPr>
            </w:pPr>
            <w:r>
              <w:rPr>
                <w:rFonts w:hint="eastAsia"/>
                <w:sz w:val="24"/>
                <w:szCs w:val="24"/>
              </w:rPr>
              <w:t>3.7.2</w:t>
            </w:r>
          </w:p>
        </w:tc>
        <w:tc>
          <w:tcPr>
            <w:tcW w:w="1660" w:type="dxa"/>
            <w:vAlign w:val="center"/>
          </w:tcPr>
          <w:p w14:paraId="54A24F3C">
            <w:pPr>
              <w:spacing w:line="360" w:lineRule="exact"/>
              <w:jc w:val="center"/>
              <w:rPr>
                <w:sz w:val="24"/>
                <w:szCs w:val="24"/>
              </w:rPr>
            </w:pPr>
            <w:r>
              <w:rPr>
                <w:rFonts w:hint="eastAsia"/>
                <w:sz w:val="24"/>
                <w:szCs w:val="24"/>
              </w:rPr>
              <w:t>响应文件</w:t>
            </w:r>
          </w:p>
        </w:tc>
        <w:tc>
          <w:tcPr>
            <w:tcW w:w="7151" w:type="dxa"/>
            <w:gridSpan w:val="2"/>
            <w:vAlign w:val="center"/>
          </w:tcPr>
          <w:p w14:paraId="75335016">
            <w:pPr>
              <w:spacing w:line="340" w:lineRule="exact"/>
              <w:rPr>
                <w:b/>
                <w:sz w:val="24"/>
                <w:szCs w:val="24"/>
              </w:rPr>
            </w:pPr>
            <w:r>
              <w:rPr>
                <w:rFonts w:hint="eastAsia"/>
                <w:sz w:val="24"/>
                <w:szCs w:val="24"/>
              </w:rPr>
              <w:t>上传至济钢集团有限公司阳光购销平台（网址：</w:t>
            </w:r>
            <w:r>
              <w:rPr>
                <w:rFonts w:hint="eastAsia"/>
                <w:sz w:val="24"/>
                <w:szCs w:val="24"/>
              </w:rPr>
              <w:fldChar w:fldCharType="begin"/>
            </w:r>
            <w:r>
              <w:rPr>
                <w:sz w:val="24"/>
                <w:szCs w:val="24"/>
              </w:rPr>
              <w:instrText xml:space="preserve"> HYPERLINK "http://bidding.jigang.com.cn" </w:instrText>
            </w:r>
            <w:r>
              <w:rPr>
                <w:rFonts w:hint="eastAsia"/>
                <w:sz w:val="24"/>
                <w:szCs w:val="24"/>
              </w:rPr>
              <w:fldChar w:fldCharType="separate"/>
            </w:r>
            <w:r>
              <w:rPr>
                <w:rFonts w:hint="eastAsia"/>
                <w:sz w:val="24"/>
                <w:szCs w:val="24"/>
              </w:rPr>
              <w:t>http://bidding.jigang.com.cn</w:t>
            </w:r>
            <w:r>
              <w:rPr>
                <w:rFonts w:hint="eastAsia"/>
                <w:sz w:val="24"/>
                <w:szCs w:val="24"/>
              </w:rPr>
              <w:fldChar w:fldCharType="end"/>
            </w:r>
            <w:r>
              <w:rPr>
                <w:rFonts w:hint="eastAsia"/>
                <w:sz w:val="24"/>
                <w:szCs w:val="24"/>
              </w:rPr>
              <w:t>/）</w:t>
            </w:r>
          </w:p>
        </w:tc>
      </w:tr>
      <w:tr w14:paraId="56ED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8" w:type="dxa"/>
            <w:vAlign w:val="center"/>
          </w:tcPr>
          <w:p w14:paraId="1F7E7671">
            <w:pPr>
              <w:jc w:val="center"/>
              <w:rPr>
                <w:sz w:val="24"/>
                <w:szCs w:val="24"/>
              </w:rPr>
            </w:pPr>
            <w:r>
              <w:rPr>
                <w:rFonts w:hint="eastAsia"/>
                <w:sz w:val="24"/>
                <w:szCs w:val="24"/>
              </w:rPr>
              <w:t>3.7.3</w:t>
            </w:r>
          </w:p>
        </w:tc>
        <w:tc>
          <w:tcPr>
            <w:tcW w:w="1660" w:type="dxa"/>
            <w:vAlign w:val="center"/>
          </w:tcPr>
          <w:p w14:paraId="5CE5C053">
            <w:pPr>
              <w:spacing w:line="240" w:lineRule="auto"/>
              <w:ind w:left="135" w:leftChars="-50" w:right="-105" w:rightChars="-50" w:hanging="240" w:hangingChars="100"/>
              <w:jc w:val="center"/>
              <w:rPr>
                <w:sz w:val="24"/>
                <w:szCs w:val="24"/>
              </w:rPr>
            </w:pPr>
            <w:r>
              <w:rPr>
                <w:rFonts w:hint="eastAsia"/>
                <w:sz w:val="24"/>
                <w:szCs w:val="24"/>
                <w:highlight w:val="none"/>
              </w:rPr>
              <w:t>纸质</w:t>
            </w:r>
            <w:r>
              <w:rPr>
                <w:rFonts w:hint="eastAsia"/>
                <w:sz w:val="24"/>
                <w:szCs w:val="24"/>
                <w:highlight w:val="none"/>
                <w:lang w:val="en-US" w:eastAsia="zh-CN"/>
              </w:rPr>
              <w:t>响应文件</w:t>
            </w:r>
            <w:r>
              <w:rPr>
                <w:rFonts w:hint="eastAsia"/>
                <w:sz w:val="24"/>
                <w:szCs w:val="24"/>
                <w:highlight w:val="none"/>
              </w:rPr>
              <w:t>装订要求</w:t>
            </w:r>
            <w:r>
              <w:rPr>
                <w:rFonts w:hint="eastAsia"/>
                <w:sz w:val="24"/>
                <w:szCs w:val="24"/>
                <w:highlight w:val="none"/>
                <w:lang w:eastAsia="zh-CN"/>
              </w:rPr>
              <w:t>（</w:t>
            </w:r>
            <w:r>
              <w:rPr>
                <w:rFonts w:hint="eastAsia"/>
                <w:sz w:val="24"/>
                <w:szCs w:val="24"/>
                <w:highlight w:val="none"/>
                <w:lang w:val="en-US" w:eastAsia="zh-CN"/>
              </w:rPr>
              <w:t>中标单位提供纸质版响应文件）</w:t>
            </w:r>
          </w:p>
        </w:tc>
        <w:tc>
          <w:tcPr>
            <w:tcW w:w="7151" w:type="dxa"/>
            <w:gridSpan w:val="2"/>
            <w:vAlign w:val="center"/>
          </w:tcPr>
          <w:p w14:paraId="2C09FC78">
            <w:pPr>
              <w:spacing w:line="240" w:lineRule="auto"/>
              <w:jc w:val="left"/>
              <w:rPr>
                <w:sz w:val="24"/>
                <w:szCs w:val="24"/>
                <w:highlight w:val="none"/>
              </w:rPr>
            </w:pPr>
            <w:r>
              <w:rPr>
                <w:rFonts w:hint="eastAsia"/>
                <w:sz w:val="24"/>
                <w:szCs w:val="24"/>
                <w:highlight w:val="none"/>
              </w:rPr>
              <w:t>1、</w:t>
            </w:r>
            <w:r>
              <w:rPr>
                <w:rFonts w:hint="eastAsia"/>
                <w:sz w:val="24"/>
                <w:szCs w:val="24"/>
                <w:highlight w:val="none"/>
                <w:lang w:eastAsia="zh-CN"/>
              </w:rPr>
              <w:t>响应文件</w:t>
            </w:r>
            <w:r>
              <w:rPr>
                <w:rFonts w:hint="eastAsia"/>
                <w:sz w:val="24"/>
                <w:szCs w:val="24"/>
                <w:highlight w:val="none"/>
              </w:rPr>
              <w:t>的正本与副本应分别装订成册。</w:t>
            </w:r>
          </w:p>
          <w:p w14:paraId="6D38DE69">
            <w:pPr>
              <w:spacing w:line="240" w:lineRule="auto"/>
              <w:jc w:val="left"/>
              <w:rPr>
                <w:sz w:val="24"/>
                <w:szCs w:val="24"/>
                <w:highlight w:val="none"/>
              </w:rPr>
            </w:pPr>
            <w:r>
              <w:rPr>
                <w:rFonts w:hint="eastAsia"/>
                <w:sz w:val="24"/>
                <w:szCs w:val="24"/>
                <w:highlight w:val="none"/>
              </w:rPr>
              <w:t>2、</w:t>
            </w:r>
            <w:r>
              <w:rPr>
                <w:rFonts w:hint="eastAsia"/>
                <w:sz w:val="24"/>
                <w:szCs w:val="24"/>
                <w:highlight w:val="none"/>
                <w:lang w:eastAsia="zh-CN"/>
              </w:rPr>
              <w:t>响应文件</w:t>
            </w:r>
            <w:r>
              <w:rPr>
                <w:rFonts w:hint="eastAsia"/>
                <w:sz w:val="24"/>
                <w:szCs w:val="24"/>
                <w:highlight w:val="none"/>
              </w:rPr>
              <w:t>每册均须采用胶装方式在左侧装订，装订须牢固不易拆散和换页，不得采用活页方式装订。</w:t>
            </w:r>
          </w:p>
          <w:p w14:paraId="05DED3B4">
            <w:pPr>
              <w:spacing w:line="240" w:lineRule="auto"/>
              <w:ind w:left="135" w:leftChars="-50" w:right="-105" w:rightChars="-50" w:hanging="240" w:hangingChars="100"/>
              <w:jc w:val="left"/>
              <w:rPr>
                <w:rFonts w:hint="eastAsia" w:eastAsia="宋体"/>
                <w:sz w:val="24"/>
                <w:szCs w:val="24"/>
                <w:highlight w:val="none"/>
              </w:rPr>
            </w:pPr>
            <w:r>
              <w:rPr>
                <w:rFonts w:hint="eastAsia"/>
                <w:sz w:val="24"/>
                <w:szCs w:val="24"/>
                <w:highlight w:val="none"/>
              </w:rPr>
              <w:t>3、</w:t>
            </w:r>
            <w:r>
              <w:rPr>
                <w:rFonts w:hint="eastAsia"/>
                <w:sz w:val="24"/>
                <w:szCs w:val="24"/>
                <w:highlight w:val="none"/>
                <w:lang w:eastAsia="zh-CN"/>
              </w:rPr>
              <w:t>响应文件</w:t>
            </w:r>
            <w:r>
              <w:rPr>
                <w:rFonts w:hint="eastAsia"/>
                <w:sz w:val="24"/>
                <w:szCs w:val="24"/>
                <w:highlight w:val="none"/>
              </w:rPr>
              <w:t>正本和副本的封面上应清楚地标记“正本”或“副本”</w:t>
            </w:r>
            <w:r>
              <w:rPr>
                <w:rFonts w:hint="eastAsia" w:eastAsia="宋体"/>
                <w:sz w:val="24"/>
                <w:szCs w:val="24"/>
                <w:highlight w:val="none"/>
              </w:rPr>
              <w:t>的字样；正本和副本如有不一致之处，以正本为准。</w:t>
            </w:r>
          </w:p>
          <w:p w14:paraId="6B7218A5">
            <w:pPr>
              <w:spacing w:line="240" w:lineRule="auto"/>
              <w:ind w:left="135" w:leftChars="-50" w:right="-105" w:rightChars="-50" w:hanging="240" w:hangingChars="100"/>
              <w:jc w:val="left"/>
              <w:rPr>
                <w:sz w:val="24"/>
                <w:szCs w:val="24"/>
              </w:rPr>
            </w:pPr>
            <w:r>
              <w:rPr>
                <w:rFonts w:hint="eastAsia" w:eastAsia="宋体"/>
                <w:sz w:val="24"/>
                <w:szCs w:val="24"/>
                <w:highlight w:val="none"/>
                <w:lang w:val="en-US" w:eastAsia="zh-CN"/>
              </w:rPr>
              <w:t>4、</w:t>
            </w:r>
            <w:r>
              <w:rPr>
                <w:rFonts w:hint="eastAsia"/>
                <w:sz w:val="24"/>
                <w:szCs w:val="24"/>
                <w:highlight w:val="none"/>
                <w:lang w:val="en-US" w:eastAsia="zh-CN"/>
              </w:rPr>
              <w:t>供应商</w:t>
            </w:r>
            <w:r>
              <w:rPr>
                <w:rFonts w:hint="eastAsia" w:eastAsia="宋体"/>
                <w:sz w:val="24"/>
                <w:szCs w:val="24"/>
                <w:highlight w:val="none"/>
                <w:lang w:val="en-US" w:eastAsia="zh-CN"/>
              </w:rPr>
              <w:t>收到中标通知书后3日内，需将</w:t>
            </w:r>
            <w:r>
              <w:rPr>
                <w:rFonts w:hint="eastAsia" w:eastAsia="宋体"/>
                <w:sz w:val="24"/>
                <w:szCs w:val="24"/>
                <w:highlight w:val="none"/>
              </w:rPr>
              <w:t>纸质</w:t>
            </w:r>
            <w:r>
              <w:rPr>
                <w:rFonts w:hint="eastAsia" w:eastAsia="宋体"/>
                <w:sz w:val="24"/>
                <w:szCs w:val="24"/>
                <w:highlight w:val="none"/>
                <w:lang w:eastAsia="zh-CN"/>
              </w:rPr>
              <w:t>响应文件</w:t>
            </w:r>
            <w:r>
              <w:rPr>
                <w:rFonts w:hint="eastAsia" w:eastAsia="宋体"/>
                <w:sz w:val="24"/>
                <w:szCs w:val="24"/>
                <w:highlight w:val="none"/>
                <w:lang w:val="en-US" w:eastAsia="zh-CN"/>
              </w:rPr>
              <w:t>邮寄到山东省济南市官庄街道青野村东，山东济钢环保新材料有限公司，收件人：史工，收件人手机号：18615514537</w:t>
            </w:r>
          </w:p>
        </w:tc>
      </w:tr>
      <w:tr w14:paraId="7DBB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29DBFA9C">
            <w:pPr>
              <w:jc w:val="center"/>
              <w:rPr>
                <w:sz w:val="24"/>
                <w:szCs w:val="24"/>
              </w:rPr>
            </w:pPr>
            <w:r>
              <w:rPr>
                <w:rFonts w:hint="eastAsia"/>
                <w:sz w:val="24"/>
                <w:szCs w:val="24"/>
              </w:rPr>
              <w:t>3.7.4</w:t>
            </w:r>
          </w:p>
        </w:tc>
        <w:tc>
          <w:tcPr>
            <w:tcW w:w="1660" w:type="dxa"/>
            <w:vAlign w:val="center"/>
          </w:tcPr>
          <w:p w14:paraId="5F1BC6E3">
            <w:pPr>
              <w:spacing w:line="360" w:lineRule="exact"/>
              <w:ind w:left="210" w:hanging="240" w:hangingChars="100"/>
              <w:jc w:val="center"/>
              <w:rPr>
                <w:sz w:val="24"/>
                <w:szCs w:val="24"/>
              </w:rPr>
            </w:pPr>
            <w:r>
              <w:rPr>
                <w:rFonts w:hint="eastAsia"/>
                <w:sz w:val="24"/>
                <w:szCs w:val="24"/>
              </w:rPr>
              <w:t>电子文档</w:t>
            </w:r>
          </w:p>
        </w:tc>
        <w:tc>
          <w:tcPr>
            <w:tcW w:w="7151" w:type="dxa"/>
            <w:gridSpan w:val="2"/>
            <w:vAlign w:val="center"/>
          </w:tcPr>
          <w:p w14:paraId="6B67984B">
            <w:pPr>
              <w:spacing w:line="340" w:lineRule="exact"/>
              <w:rPr>
                <w:bCs/>
                <w:sz w:val="24"/>
                <w:szCs w:val="24"/>
              </w:rPr>
            </w:pPr>
            <w:r>
              <w:rPr>
                <w:rFonts w:hint="eastAsia"/>
                <w:bCs/>
                <w:sz w:val="24"/>
                <w:szCs w:val="24"/>
              </w:rPr>
              <w:t>详见谈判须知正文3.7.6条款</w:t>
            </w:r>
          </w:p>
        </w:tc>
      </w:tr>
      <w:tr w14:paraId="201A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35492982">
            <w:pPr>
              <w:jc w:val="center"/>
              <w:rPr>
                <w:sz w:val="24"/>
                <w:szCs w:val="24"/>
              </w:rPr>
            </w:pPr>
            <w:r>
              <w:rPr>
                <w:rFonts w:hint="eastAsia"/>
                <w:sz w:val="24"/>
                <w:szCs w:val="24"/>
              </w:rPr>
              <w:t>4.1</w:t>
            </w:r>
          </w:p>
        </w:tc>
        <w:tc>
          <w:tcPr>
            <w:tcW w:w="1660" w:type="dxa"/>
            <w:vAlign w:val="center"/>
          </w:tcPr>
          <w:p w14:paraId="39C460B7">
            <w:pPr>
              <w:spacing w:line="360" w:lineRule="exact"/>
              <w:jc w:val="center"/>
              <w:rPr>
                <w:sz w:val="24"/>
                <w:szCs w:val="24"/>
              </w:rPr>
            </w:pPr>
            <w:r>
              <w:rPr>
                <w:rFonts w:hint="eastAsia" w:cs="仿宋"/>
                <w:sz w:val="24"/>
                <w:szCs w:val="24"/>
              </w:rPr>
              <w:t>上传响应文件的截止时间</w:t>
            </w:r>
          </w:p>
        </w:tc>
        <w:tc>
          <w:tcPr>
            <w:tcW w:w="7151" w:type="dxa"/>
            <w:gridSpan w:val="2"/>
            <w:vAlign w:val="center"/>
          </w:tcPr>
          <w:p w14:paraId="336E8F4A">
            <w:pPr>
              <w:spacing w:line="340" w:lineRule="exact"/>
              <w:rPr>
                <w:sz w:val="24"/>
                <w:szCs w:val="24"/>
              </w:rPr>
            </w:pPr>
            <w:r>
              <w:rPr>
                <w:rFonts w:hint="eastAsia"/>
                <w:sz w:val="24"/>
                <w:szCs w:val="24"/>
              </w:rPr>
              <w:t>2025年</w:t>
            </w:r>
            <w:r>
              <w:rPr>
                <w:rFonts w:hint="eastAsia"/>
                <w:sz w:val="24"/>
                <w:szCs w:val="24"/>
                <w:lang w:val="en-US" w:eastAsia="zh-CN"/>
              </w:rPr>
              <w:t>7</w:t>
            </w:r>
            <w:r>
              <w:rPr>
                <w:rFonts w:hint="eastAsia"/>
                <w:sz w:val="24"/>
                <w:szCs w:val="24"/>
              </w:rPr>
              <w:t>月</w:t>
            </w:r>
            <w:r>
              <w:rPr>
                <w:rFonts w:hint="eastAsia"/>
                <w:sz w:val="24"/>
                <w:szCs w:val="24"/>
                <w:lang w:val="en-US" w:eastAsia="zh-CN"/>
              </w:rPr>
              <w:t>7</w:t>
            </w:r>
            <w:r>
              <w:rPr>
                <w:rFonts w:hint="eastAsia"/>
                <w:sz w:val="24"/>
                <w:szCs w:val="24"/>
              </w:rPr>
              <w:t xml:space="preserve"> 日</w:t>
            </w:r>
            <w:r>
              <w:rPr>
                <w:rFonts w:hint="eastAsia"/>
                <w:sz w:val="24"/>
                <w:szCs w:val="24"/>
                <w:lang w:val="en-US" w:eastAsia="zh-CN"/>
              </w:rPr>
              <w:t>上午9</w:t>
            </w:r>
            <w:r>
              <w:rPr>
                <w:rFonts w:hint="eastAsia"/>
                <w:sz w:val="24"/>
                <w:szCs w:val="24"/>
              </w:rPr>
              <w:t>时00分</w:t>
            </w:r>
          </w:p>
        </w:tc>
      </w:tr>
      <w:tr w14:paraId="02EA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 w:type="dxa"/>
            <w:vAlign w:val="center"/>
          </w:tcPr>
          <w:p w14:paraId="2E82244D">
            <w:pPr>
              <w:jc w:val="center"/>
              <w:rPr>
                <w:sz w:val="24"/>
                <w:szCs w:val="24"/>
              </w:rPr>
            </w:pPr>
            <w:r>
              <w:rPr>
                <w:rFonts w:hint="eastAsia"/>
                <w:sz w:val="24"/>
                <w:szCs w:val="24"/>
              </w:rPr>
              <w:t>5.1</w:t>
            </w:r>
          </w:p>
        </w:tc>
        <w:tc>
          <w:tcPr>
            <w:tcW w:w="1660" w:type="dxa"/>
            <w:vAlign w:val="center"/>
          </w:tcPr>
          <w:p w14:paraId="0F5E4AA6">
            <w:pPr>
              <w:spacing w:line="360" w:lineRule="exact"/>
              <w:jc w:val="center"/>
              <w:rPr>
                <w:sz w:val="24"/>
                <w:szCs w:val="24"/>
              </w:rPr>
            </w:pPr>
            <w:r>
              <w:rPr>
                <w:rFonts w:hint="eastAsia"/>
                <w:sz w:val="24"/>
                <w:szCs w:val="24"/>
              </w:rPr>
              <w:t>谈判时间和</w:t>
            </w:r>
          </w:p>
          <w:p w14:paraId="023C714C">
            <w:pPr>
              <w:spacing w:line="360" w:lineRule="exact"/>
              <w:jc w:val="center"/>
              <w:rPr>
                <w:sz w:val="24"/>
                <w:szCs w:val="24"/>
              </w:rPr>
            </w:pPr>
            <w:r>
              <w:rPr>
                <w:rFonts w:hint="eastAsia"/>
                <w:sz w:val="24"/>
                <w:szCs w:val="24"/>
              </w:rPr>
              <w:t>方式</w:t>
            </w:r>
          </w:p>
        </w:tc>
        <w:tc>
          <w:tcPr>
            <w:tcW w:w="7151" w:type="dxa"/>
            <w:gridSpan w:val="2"/>
            <w:vAlign w:val="center"/>
          </w:tcPr>
          <w:p w14:paraId="3ADAC38C">
            <w:pPr>
              <w:spacing w:line="340" w:lineRule="exact"/>
              <w:rPr>
                <w:sz w:val="24"/>
                <w:szCs w:val="24"/>
              </w:rPr>
            </w:pPr>
            <w:r>
              <w:rPr>
                <w:rFonts w:hint="eastAsia"/>
                <w:sz w:val="24"/>
                <w:szCs w:val="24"/>
              </w:rPr>
              <w:t>谈判时间：2025年</w:t>
            </w:r>
            <w:r>
              <w:rPr>
                <w:rFonts w:hint="eastAsia"/>
                <w:sz w:val="24"/>
                <w:szCs w:val="24"/>
                <w:lang w:val="en-US" w:eastAsia="zh-CN"/>
              </w:rPr>
              <w:t>7</w:t>
            </w:r>
            <w:r>
              <w:rPr>
                <w:rFonts w:hint="eastAsia"/>
                <w:sz w:val="24"/>
                <w:szCs w:val="24"/>
              </w:rPr>
              <w:t>月</w:t>
            </w:r>
            <w:r>
              <w:rPr>
                <w:rFonts w:hint="eastAsia"/>
                <w:sz w:val="24"/>
                <w:szCs w:val="24"/>
                <w:lang w:val="en-US" w:eastAsia="zh-CN"/>
              </w:rPr>
              <w:t>7</w:t>
            </w:r>
            <w:r>
              <w:rPr>
                <w:rFonts w:hint="eastAsia"/>
                <w:sz w:val="24"/>
                <w:szCs w:val="24"/>
              </w:rPr>
              <w:t xml:space="preserve"> 日</w:t>
            </w:r>
            <w:r>
              <w:rPr>
                <w:rFonts w:hint="eastAsia"/>
                <w:sz w:val="24"/>
                <w:szCs w:val="24"/>
                <w:lang w:val="en-US" w:eastAsia="zh-CN"/>
              </w:rPr>
              <w:t>上午9</w:t>
            </w:r>
            <w:r>
              <w:rPr>
                <w:rFonts w:hint="eastAsia"/>
                <w:sz w:val="24"/>
                <w:szCs w:val="24"/>
              </w:rPr>
              <w:t>时00分</w:t>
            </w:r>
          </w:p>
          <w:p w14:paraId="7FC54E0B">
            <w:pPr>
              <w:spacing w:line="340" w:lineRule="exact"/>
              <w:rPr>
                <w:sz w:val="24"/>
                <w:szCs w:val="24"/>
              </w:rPr>
            </w:pPr>
            <w:r>
              <w:rPr>
                <w:rFonts w:hint="eastAsia"/>
                <w:sz w:val="24"/>
                <w:szCs w:val="24"/>
              </w:rPr>
              <w:t>谈判方式：</w:t>
            </w:r>
            <w:r>
              <w:rPr>
                <w:rFonts w:ascii="Times New Roman" w:hAnsi="Times New Roman"/>
                <w:sz w:val="24"/>
                <w:szCs w:val="24"/>
              </w:rPr>
              <w:t>网上</w:t>
            </w:r>
            <w:r>
              <w:rPr>
                <w:rFonts w:hint="eastAsia" w:ascii="Times New Roman" w:hAnsi="Times New Roman"/>
                <w:sz w:val="24"/>
                <w:szCs w:val="24"/>
              </w:rPr>
              <w:t>谈判</w:t>
            </w:r>
            <w:r>
              <w:rPr>
                <w:rFonts w:ascii="Times New Roman" w:hAnsi="Times New Roman"/>
                <w:sz w:val="24"/>
                <w:szCs w:val="24"/>
              </w:rPr>
              <w:t>，</w:t>
            </w:r>
            <w:r>
              <w:rPr>
                <w:rFonts w:hint="eastAsia" w:ascii="Times New Roman" w:hAnsi="Times New Roman"/>
                <w:sz w:val="24"/>
                <w:szCs w:val="24"/>
              </w:rPr>
              <w:t>谈判</w:t>
            </w:r>
            <w:r>
              <w:rPr>
                <w:rFonts w:ascii="Times New Roman" w:hAnsi="Times New Roman"/>
                <w:sz w:val="24"/>
                <w:szCs w:val="24"/>
              </w:rPr>
              <w:t>时无需</w:t>
            </w:r>
            <w:r>
              <w:rPr>
                <w:rFonts w:hint="eastAsia" w:ascii="Times New Roman" w:hAnsi="Times New Roman"/>
                <w:sz w:val="24"/>
                <w:szCs w:val="24"/>
              </w:rPr>
              <w:t>供应商</w:t>
            </w:r>
            <w:r>
              <w:rPr>
                <w:rFonts w:ascii="Times New Roman" w:hAnsi="Times New Roman"/>
                <w:sz w:val="24"/>
                <w:szCs w:val="24"/>
              </w:rPr>
              <w:t>到达现场。</w:t>
            </w:r>
          </w:p>
        </w:tc>
      </w:tr>
      <w:tr w14:paraId="2692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dxa"/>
            <w:vAlign w:val="center"/>
          </w:tcPr>
          <w:p w14:paraId="71659073">
            <w:pPr>
              <w:jc w:val="center"/>
              <w:rPr>
                <w:sz w:val="24"/>
                <w:szCs w:val="24"/>
              </w:rPr>
            </w:pPr>
            <w:r>
              <w:rPr>
                <w:rFonts w:hint="eastAsia"/>
                <w:sz w:val="24"/>
                <w:szCs w:val="24"/>
              </w:rPr>
              <w:t>6.3</w:t>
            </w:r>
          </w:p>
        </w:tc>
        <w:tc>
          <w:tcPr>
            <w:tcW w:w="1660" w:type="dxa"/>
            <w:vAlign w:val="center"/>
          </w:tcPr>
          <w:p w14:paraId="5055C3E6">
            <w:pPr>
              <w:spacing w:line="360" w:lineRule="exact"/>
              <w:jc w:val="center"/>
              <w:rPr>
                <w:sz w:val="24"/>
                <w:szCs w:val="24"/>
              </w:rPr>
            </w:pPr>
            <w:r>
              <w:rPr>
                <w:rFonts w:hint="eastAsia"/>
                <w:sz w:val="24"/>
                <w:szCs w:val="24"/>
              </w:rPr>
              <w:t>评审方法</w:t>
            </w:r>
          </w:p>
        </w:tc>
        <w:tc>
          <w:tcPr>
            <w:tcW w:w="7151" w:type="dxa"/>
            <w:gridSpan w:val="2"/>
            <w:vAlign w:val="center"/>
          </w:tcPr>
          <w:p w14:paraId="77206E30">
            <w:pPr>
              <w:spacing w:line="340" w:lineRule="exact"/>
              <w:rPr>
                <w:bCs/>
                <w:sz w:val="24"/>
                <w:szCs w:val="24"/>
              </w:rPr>
            </w:pPr>
            <w:r>
              <w:rPr>
                <w:rFonts w:hint="eastAsia"/>
                <w:bCs/>
                <w:sz w:val="24"/>
                <w:szCs w:val="24"/>
              </w:rPr>
              <w:t>综合评审法</w:t>
            </w:r>
          </w:p>
        </w:tc>
      </w:tr>
      <w:tr w14:paraId="5274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8" w:type="dxa"/>
            <w:vAlign w:val="center"/>
          </w:tcPr>
          <w:p w14:paraId="69A33D26">
            <w:pPr>
              <w:jc w:val="center"/>
              <w:rPr>
                <w:sz w:val="24"/>
                <w:szCs w:val="24"/>
              </w:rPr>
            </w:pPr>
            <w:r>
              <w:rPr>
                <w:rFonts w:hint="eastAsia"/>
                <w:sz w:val="24"/>
                <w:szCs w:val="24"/>
              </w:rPr>
              <w:t>7.3</w:t>
            </w:r>
          </w:p>
        </w:tc>
        <w:tc>
          <w:tcPr>
            <w:tcW w:w="1660" w:type="dxa"/>
            <w:vAlign w:val="center"/>
          </w:tcPr>
          <w:p w14:paraId="70EDC756">
            <w:pPr>
              <w:spacing w:line="360" w:lineRule="exact"/>
              <w:jc w:val="center"/>
              <w:rPr>
                <w:sz w:val="24"/>
                <w:szCs w:val="24"/>
              </w:rPr>
            </w:pPr>
            <w:r>
              <w:rPr>
                <w:rFonts w:hint="eastAsia"/>
                <w:sz w:val="24"/>
                <w:szCs w:val="24"/>
              </w:rPr>
              <w:t>履约</w:t>
            </w:r>
            <w:r>
              <w:rPr>
                <w:rFonts w:hint="eastAsia"/>
                <w:bCs/>
                <w:sz w:val="24"/>
                <w:szCs w:val="24"/>
              </w:rPr>
              <w:t>保证金</w:t>
            </w:r>
          </w:p>
        </w:tc>
        <w:tc>
          <w:tcPr>
            <w:tcW w:w="7151" w:type="dxa"/>
            <w:gridSpan w:val="2"/>
            <w:vAlign w:val="center"/>
          </w:tcPr>
          <w:p w14:paraId="1FF44D08">
            <w:pPr>
              <w:spacing w:line="340" w:lineRule="exact"/>
              <w:rPr>
                <w:sz w:val="24"/>
                <w:szCs w:val="24"/>
              </w:rPr>
            </w:pPr>
            <w:r>
              <w:rPr>
                <w:rFonts w:hint="eastAsia"/>
                <w:bCs/>
                <w:sz w:val="24"/>
                <w:szCs w:val="24"/>
              </w:rPr>
              <w:t>无</w:t>
            </w:r>
          </w:p>
        </w:tc>
      </w:tr>
      <w:tr w14:paraId="7AC0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3" w:hRule="atLeast"/>
          <w:jc w:val="center"/>
        </w:trPr>
        <w:tc>
          <w:tcPr>
            <w:tcW w:w="958" w:type="dxa"/>
            <w:vAlign w:val="center"/>
          </w:tcPr>
          <w:p w14:paraId="5665D1CE">
            <w:pPr>
              <w:jc w:val="center"/>
              <w:rPr>
                <w:sz w:val="24"/>
                <w:szCs w:val="24"/>
              </w:rPr>
            </w:pPr>
            <w:r>
              <w:rPr>
                <w:rFonts w:hint="eastAsia"/>
                <w:sz w:val="24"/>
                <w:szCs w:val="24"/>
              </w:rPr>
              <w:t>8.1</w:t>
            </w:r>
          </w:p>
        </w:tc>
        <w:tc>
          <w:tcPr>
            <w:tcW w:w="1660" w:type="dxa"/>
            <w:vAlign w:val="center"/>
          </w:tcPr>
          <w:p w14:paraId="26782141">
            <w:pPr>
              <w:spacing w:line="360" w:lineRule="exact"/>
              <w:jc w:val="center"/>
              <w:rPr>
                <w:sz w:val="24"/>
                <w:szCs w:val="24"/>
              </w:rPr>
            </w:pPr>
            <w:r>
              <w:rPr>
                <w:rFonts w:hint="eastAsia"/>
                <w:sz w:val="24"/>
                <w:szCs w:val="24"/>
              </w:rPr>
              <w:t>重新谈判</w:t>
            </w:r>
          </w:p>
        </w:tc>
        <w:tc>
          <w:tcPr>
            <w:tcW w:w="7138" w:type="dxa"/>
            <w:vAlign w:val="center"/>
          </w:tcPr>
          <w:p w14:paraId="3AC9DAF1">
            <w:pPr>
              <w:spacing w:line="340" w:lineRule="exact"/>
              <w:rPr>
                <w:rFonts w:cs="仿宋"/>
                <w:sz w:val="24"/>
                <w:szCs w:val="24"/>
              </w:rPr>
            </w:pPr>
            <w:r>
              <w:rPr>
                <w:rFonts w:hint="eastAsia" w:cs="仿宋"/>
                <w:sz w:val="24"/>
                <w:szCs w:val="24"/>
              </w:rPr>
              <w:t>有下列情形之一的，采购人将重新谈判</w:t>
            </w:r>
          </w:p>
          <w:p w14:paraId="6D3FF7F1">
            <w:pPr>
              <w:spacing w:line="340" w:lineRule="exact"/>
              <w:rPr>
                <w:rFonts w:cs="仿宋"/>
                <w:sz w:val="24"/>
                <w:szCs w:val="24"/>
              </w:rPr>
            </w:pPr>
            <w:r>
              <w:rPr>
                <w:rFonts w:hint="eastAsia" w:cs="仿宋"/>
                <w:sz w:val="24"/>
                <w:szCs w:val="24"/>
              </w:rPr>
              <w:t>1.截至到</w:t>
            </w:r>
            <w:r>
              <w:rPr>
                <w:rFonts w:hint="eastAsia"/>
                <w:sz w:val="24"/>
                <w:szCs w:val="24"/>
              </w:rPr>
              <w:t>谈判开始时间</w:t>
            </w:r>
            <w:r>
              <w:rPr>
                <w:rFonts w:hint="eastAsia" w:cs="仿宋"/>
                <w:sz w:val="24"/>
                <w:szCs w:val="24"/>
              </w:rPr>
              <w:t>，提交响应文件的供应商少于3个的；</w:t>
            </w:r>
          </w:p>
          <w:p w14:paraId="1575B480">
            <w:pPr>
              <w:spacing w:line="340" w:lineRule="exact"/>
              <w:rPr>
                <w:rFonts w:cs="仿宋"/>
                <w:sz w:val="24"/>
                <w:szCs w:val="24"/>
              </w:rPr>
            </w:pPr>
            <w:r>
              <w:rPr>
                <w:rFonts w:hint="eastAsia" w:cs="仿宋"/>
                <w:sz w:val="24"/>
                <w:szCs w:val="24"/>
              </w:rPr>
              <w:t>2.经评审委员会评审，否决部分供应商响应文件后少于3个，缺乏竞争性的；</w:t>
            </w:r>
          </w:p>
          <w:p w14:paraId="6D4B6E6D">
            <w:pPr>
              <w:spacing w:line="340" w:lineRule="exact"/>
              <w:rPr>
                <w:sz w:val="24"/>
                <w:szCs w:val="24"/>
              </w:rPr>
            </w:pPr>
            <w:r>
              <w:rPr>
                <w:rFonts w:hint="eastAsia" w:cs="仿宋"/>
                <w:sz w:val="24"/>
                <w:szCs w:val="24"/>
              </w:rPr>
              <w:t>3.经评审委员会评审否决所有响应文件的。</w:t>
            </w:r>
          </w:p>
        </w:tc>
      </w:tr>
      <w:tr w14:paraId="59E0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14:paraId="75E99FB8">
            <w:pPr>
              <w:jc w:val="center"/>
              <w:rPr>
                <w:sz w:val="24"/>
                <w:szCs w:val="24"/>
              </w:rPr>
            </w:pPr>
            <w:r>
              <w:rPr>
                <w:rFonts w:hint="eastAsia"/>
                <w:sz w:val="24"/>
                <w:szCs w:val="24"/>
              </w:rPr>
              <w:t>10.1</w:t>
            </w:r>
          </w:p>
        </w:tc>
        <w:tc>
          <w:tcPr>
            <w:tcW w:w="8811" w:type="dxa"/>
            <w:gridSpan w:val="3"/>
            <w:vAlign w:val="center"/>
          </w:tcPr>
          <w:p w14:paraId="2428C89C">
            <w:pPr>
              <w:spacing w:line="340" w:lineRule="exact"/>
              <w:rPr>
                <w:bCs/>
                <w:sz w:val="24"/>
                <w:szCs w:val="24"/>
              </w:rPr>
            </w:pPr>
            <w:r>
              <w:rPr>
                <w:rFonts w:hint="eastAsia"/>
                <w:bCs/>
                <w:sz w:val="24"/>
                <w:szCs w:val="24"/>
              </w:rPr>
              <w:t>在任何评审环节中，需评审委员会就某项定性的评审结论做出表决的，由评审委员会全体成员按照少数服从多数的原则，以记名投票方式表决。</w:t>
            </w:r>
          </w:p>
        </w:tc>
      </w:tr>
      <w:tr w14:paraId="7750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8" w:type="dxa"/>
            <w:vAlign w:val="center"/>
          </w:tcPr>
          <w:p w14:paraId="2C5C908D">
            <w:pPr>
              <w:jc w:val="center"/>
              <w:rPr>
                <w:sz w:val="24"/>
                <w:szCs w:val="24"/>
              </w:rPr>
            </w:pPr>
            <w:r>
              <w:rPr>
                <w:rFonts w:hint="eastAsia"/>
                <w:sz w:val="24"/>
                <w:szCs w:val="24"/>
              </w:rPr>
              <w:t>10.2</w:t>
            </w:r>
          </w:p>
        </w:tc>
        <w:tc>
          <w:tcPr>
            <w:tcW w:w="8811" w:type="dxa"/>
            <w:gridSpan w:val="3"/>
            <w:vAlign w:val="center"/>
          </w:tcPr>
          <w:p w14:paraId="5170D73D">
            <w:pPr>
              <w:spacing w:line="340" w:lineRule="exact"/>
              <w:rPr>
                <w:sz w:val="24"/>
                <w:szCs w:val="24"/>
              </w:rPr>
            </w:pPr>
            <w:r>
              <w:rPr>
                <w:rFonts w:hint="eastAsia"/>
                <w:sz w:val="24"/>
                <w:szCs w:val="24"/>
              </w:rPr>
              <w:t>供应商认为谈判文件中有限制、排斥供应商情形的，应当在谈判开始时间2日前向采购人书面提出，未在规定时间内提出异议的，视为对谈判文件无异议。</w:t>
            </w:r>
          </w:p>
        </w:tc>
      </w:tr>
    </w:tbl>
    <w:p w14:paraId="7375F620">
      <w:pPr>
        <w:pStyle w:val="9"/>
        <w:spacing w:line="360" w:lineRule="auto"/>
        <w:jc w:val="left"/>
        <w:rPr>
          <w:rFonts w:ascii="仿宋" w:hAnsi="仿宋" w:eastAsia="仿宋"/>
          <w:b/>
          <w:sz w:val="28"/>
          <w:szCs w:val="28"/>
        </w:rPr>
      </w:pPr>
    </w:p>
    <w:p w14:paraId="1064F165">
      <w:pPr>
        <w:pStyle w:val="32"/>
        <w:rPr>
          <w:rFonts w:hint="eastAsia"/>
          <w:b/>
          <w:bCs w:val="0"/>
          <w:sz w:val="32"/>
          <w:szCs w:val="32"/>
          <w:lang w:val="en-US" w:eastAsia="zh-CN"/>
        </w:rPr>
      </w:pPr>
    </w:p>
    <w:p w14:paraId="74C88C7D">
      <w:pPr>
        <w:pStyle w:val="32"/>
        <w:rPr>
          <w:rFonts w:hint="eastAsia"/>
          <w:b/>
          <w:bCs w:val="0"/>
          <w:sz w:val="32"/>
          <w:szCs w:val="32"/>
          <w:lang w:val="en-US" w:eastAsia="zh-CN"/>
        </w:rPr>
      </w:pPr>
    </w:p>
    <w:p w14:paraId="192C5B9F">
      <w:pPr>
        <w:pStyle w:val="32"/>
        <w:rPr>
          <w:rFonts w:hint="eastAsia"/>
          <w:b/>
          <w:bCs w:val="0"/>
          <w:sz w:val="32"/>
          <w:szCs w:val="32"/>
          <w:lang w:val="en-US" w:eastAsia="zh-CN"/>
        </w:rPr>
      </w:pPr>
    </w:p>
    <w:p w14:paraId="13D3F9C8">
      <w:pPr>
        <w:pStyle w:val="32"/>
        <w:rPr>
          <w:rStyle w:val="28"/>
          <w:b/>
          <w:bCs w:val="0"/>
          <w:sz w:val="32"/>
          <w:szCs w:val="32"/>
        </w:rPr>
      </w:pPr>
      <w:r>
        <w:rPr>
          <w:rFonts w:hint="eastAsia"/>
          <w:b/>
          <w:bCs w:val="0"/>
          <w:sz w:val="32"/>
          <w:szCs w:val="32"/>
          <w:lang w:val="en-US" w:eastAsia="zh-CN"/>
        </w:rPr>
        <w:t>谈判</w:t>
      </w:r>
      <w:r>
        <w:rPr>
          <w:rFonts w:hint="eastAsia"/>
          <w:b/>
          <w:bCs w:val="0"/>
          <w:sz w:val="32"/>
          <w:szCs w:val="32"/>
        </w:rPr>
        <w:t>须知正文部分</w:t>
      </w:r>
    </w:p>
    <w:p w14:paraId="0F85CAAE">
      <w:pPr>
        <w:pStyle w:val="41"/>
        <w:rPr>
          <w:rStyle w:val="28"/>
          <w:rFonts w:hint="eastAsia" w:ascii="Times New Roman" w:hAnsi="Times New Roman" w:eastAsia="宋体" w:cs="Times New Roman"/>
          <w:b w:val="0"/>
          <w:bCs w:val="0"/>
        </w:rPr>
      </w:pPr>
      <w:bookmarkStart w:id="2" w:name="_Toc507936013"/>
      <w:bookmarkStart w:id="3" w:name="_Toc506105818"/>
      <w:r>
        <w:rPr>
          <w:rStyle w:val="28"/>
          <w:rFonts w:hint="eastAsia" w:ascii="Times New Roman" w:hAnsi="Times New Roman" w:eastAsia="宋体" w:cs="Times New Roman"/>
          <w:b w:val="0"/>
          <w:bCs w:val="0"/>
        </w:rPr>
        <w:t>1.总则</w:t>
      </w:r>
      <w:bookmarkEnd w:id="2"/>
      <w:bookmarkEnd w:id="3"/>
    </w:p>
    <w:p w14:paraId="3886AE06">
      <w:pPr>
        <w:pStyle w:val="35"/>
      </w:pPr>
      <w:bookmarkStart w:id="4" w:name="_Toc507936014"/>
      <w:bookmarkStart w:id="5" w:name="_Toc506105819"/>
      <w:r>
        <w:rPr>
          <w:rFonts w:hint="eastAsia"/>
        </w:rPr>
        <w:t>1.1 项目概况</w:t>
      </w:r>
      <w:bookmarkEnd w:id="4"/>
      <w:bookmarkEnd w:id="5"/>
    </w:p>
    <w:p w14:paraId="2FBABE72">
      <w:pPr>
        <w:spacing w:line="360" w:lineRule="auto"/>
        <w:ind w:firstLine="480" w:firstLineChars="200"/>
        <w:rPr>
          <w:rFonts w:hint="eastAsia" w:ascii="宋体" w:hAnsi="宋体" w:eastAsia="宋体" w:cs="仿宋"/>
          <w:sz w:val="24"/>
        </w:rPr>
      </w:pPr>
      <w:r>
        <w:rPr>
          <w:rFonts w:hint="eastAsia" w:ascii="宋体" w:hAnsi="宋体" w:eastAsia="宋体" w:cs="仿宋"/>
          <w:sz w:val="24"/>
        </w:rPr>
        <w:t>1.1.</w:t>
      </w:r>
      <w:r>
        <w:rPr>
          <w:rFonts w:hint="eastAsia" w:ascii="宋体" w:hAnsi="宋体" w:eastAsia="宋体" w:cs="仿宋"/>
          <w:sz w:val="24"/>
          <w:lang w:eastAsia="zh-CN"/>
        </w:rPr>
        <w:t>1</w:t>
      </w:r>
      <w:r>
        <w:rPr>
          <w:rFonts w:hint="eastAsia" w:ascii="宋体" w:hAnsi="宋体" w:eastAsia="宋体" w:cs="仿宋"/>
          <w:sz w:val="24"/>
        </w:rPr>
        <w:t xml:space="preserve"> </w:t>
      </w:r>
      <w:r>
        <w:rPr>
          <w:rFonts w:hint="eastAsia" w:ascii="宋体" w:hAnsi="宋体" w:eastAsia="宋体" w:cs="仿宋"/>
          <w:sz w:val="24"/>
          <w:lang w:val="en-US" w:eastAsia="zh-CN"/>
        </w:rPr>
        <w:t>采购人：详见谈判须知前附表</w:t>
      </w:r>
    </w:p>
    <w:p w14:paraId="6B92F44F">
      <w:pPr>
        <w:spacing w:line="360" w:lineRule="auto"/>
        <w:ind w:firstLine="480" w:firstLineChars="200"/>
        <w:rPr>
          <w:rFonts w:hint="eastAsia" w:ascii="宋体" w:hAnsi="宋体" w:eastAsia="宋体" w:cs="仿宋"/>
          <w:sz w:val="24"/>
        </w:rPr>
      </w:pPr>
      <w:r>
        <w:rPr>
          <w:rFonts w:hint="eastAsia" w:ascii="宋体" w:hAnsi="宋体" w:eastAsia="宋体" w:cs="仿宋"/>
          <w:sz w:val="24"/>
        </w:rPr>
        <w:t xml:space="preserve">1.1.2 </w:t>
      </w:r>
      <w:r>
        <w:rPr>
          <w:rFonts w:hint="eastAsia" w:ascii="宋体" w:hAnsi="宋体" w:eastAsia="宋体" w:cs="仿宋"/>
          <w:sz w:val="24"/>
          <w:lang w:val="en-US" w:eastAsia="zh-CN"/>
        </w:rPr>
        <w:t>采购</w:t>
      </w:r>
      <w:r>
        <w:rPr>
          <w:rFonts w:hint="eastAsia" w:ascii="宋体" w:hAnsi="宋体" w:eastAsia="宋体" w:cs="仿宋"/>
          <w:sz w:val="24"/>
        </w:rPr>
        <w:t>项目名称：详见</w:t>
      </w:r>
      <w:r>
        <w:rPr>
          <w:rFonts w:hint="eastAsia" w:ascii="宋体" w:hAnsi="宋体" w:eastAsia="宋体" w:cs="仿宋"/>
          <w:sz w:val="24"/>
          <w:lang w:val="en-US" w:eastAsia="zh-CN"/>
        </w:rPr>
        <w:t>谈判</w:t>
      </w:r>
      <w:r>
        <w:rPr>
          <w:rFonts w:hint="eastAsia" w:ascii="宋体" w:hAnsi="宋体" w:eastAsia="宋体" w:cs="仿宋"/>
          <w:sz w:val="24"/>
        </w:rPr>
        <w:t>须知前附表</w:t>
      </w:r>
    </w:p>
    <w:p w14:paraId="4FF70DD9">
      <w:pPr>
        <w:spacing w:line="360" w:lineRule="auto"/>
        <w:ind w:firstLine="480" w:firstLineChars="200"/>
        <w:rPr>
          <w:rFonts w:ascii="宋体" w:hAnsi="宋体" w:cs="仿宋"/>
          <w:sz w:val="24"/>
        </w:rPr>
      </w:pPr>
      <w:r>
        <w:rPr>
          <w:rFonts w:hint="eastAsia" w:ascii="宋体" w:hAnsi="宋体" w:cs="仿宋"/>
          <w:sz w:val="24"/>
        </w:rPr>
        <w:t>1.1.3</w:t>
      </w:r>
      <w:r>
        <w:rPr>
          <w:rFonts w:hint="eastAsia" w:cs="仿宋"/>
          <w:sz w:val="24"/>
          <w:lang w:val="en-US" w:eastAsia="zh-CN"/>
        </w:rPr>
        <w:t>项目</w:t>
      </w:r>
      <w:r>
        <w:rPr>
          <w:rFonts w:hint="eastAsia" w:ascii="宋体" w:hAnsi="宋体" w:cs="仿宋"/>
          <w:sz w:val="24"/>
        </w:rPr>
        <w:t>概况: 详见</w:t>
      </w:r>
      <w:r>
        <w:rPr>
          <w:rFonts w:hint="eastAsia" w:cs="仿宋"/>
          <w:sz w:val="24"/>
          <w:lang w:val="en-US" w:eastAsia="zh-CN"/>
        </w:rPr>
        <w:t>谈判</w:t>
      </w:r>
      <w:r>
        <w:rPr>
          <w:rFonts w:hint="eastAsia" w:ascii="宋体" w:hAnsi="宋体" w:cs="仿宋"/>
          <w:sz w:val="24"/>
        </w:rPr>
        <w:t>须知前附表</w:t>
      </w:r>
    </w:p>
    <w:p w14:paraId="5B82EEFD">
      <w:pPr>
        <w:spacing w:line="360" w:lineRule="auto"/>
        <w:ind w:firstLine="480" w:firstLineChars="200"/>
        <w:rPr>
          <w:rFonts w:ascii="宋体" w:hAnsi="宋体" w:cs="仿宋"/>
          <w:sz w:val="24"/>
        </w:rPr>
      </w:pPr>
      <w:r>
        <w:rPr>
          <w:rFonts w:hint="eastAsia" w:ascii="宋体" w:hAnsi="宋体" w:cs="仿宋"/>
          <w:sz w:val="24"/>
        </w:rPr>
        <w:t>1.1.4 项目地点：详见</w:t>
      </w:r>
      <w:r>
        <w:rPr>
          <w:rFonts w:hint="eastAsia" w:cs="仿宋"/>
          <w:sz w:val="24"/>
          <w:lang w:val="en-US" w:eastAsia="zh-CN"/>
        </w:rPr>
        <w:t>谈判</w:t>
      </w:r>
      <w:r>
        <w:rPr>
          <w:rFonts w:hint="eastAsia" w:ascii="宋体" w:hAnsi="宋体" w:cs="仿宋"/>
          <w:sz w:val="24"/>
        </w:rPr>
        <w:t>须知前附表</w:t>
      </w:r>
    </w:p>
    <w:p w14:paraId="0C93FC25">
      <w:pPr>
        <w:pStyle w:val="35"/>
      </w:pPr>
      <w:bookmarkStart w:id="6" w:name="_Toc247513954"/>
      <w:bookmarkStart w:id="7" w:name="_Toc506105820"/>
      <w:bookmarkStart w:id="8" w:name="_Toc27657"/>
      <w:bookmarkStart w:id="9" w:name="_Toc25497"/>
      <w:bookmarkStart w:id="10" w:name="_Toc300834951"/>
      <w:bookmarkStart w:id="11" w:name="_Toc247527555"/>
      <w:bookmarkStart w:id="12" w:name="_Toc328559028"/>
      <w:bookmarkStart w:id="13" w:name="_Toc507936015"/>
      <w:r>
        <w:rPr>
          <w:rFonts w:hint="eastAsia"/>
        </w:rPr>
        <w:t>1.2 项目资金来源</w:t>
      </w:r>
      <w:bookmarkEnd w:id="6"/>
      <w:bookmarkEnd w:id="7"/>
      <w:bookmarkEnd w:id="8"/>
      <w:bookmarkEnd w:id="9"/>
      <w:bookmarkEnd w:id="10"/>
      <w:bookmarkEnd w:id="11"/>
      <w:bookmarkEnd w:id="12"/>
      <w:r>
        <w:rPr>
          <w:rFonts w:hint="eastAsia"/>
        </w:rPr>
        <w:t>、</w:t>
      </w:r>
      <w:r>
        <w:rPr>
          <w:rFonts w:hint="eastAsia"/>
          <w:lang w:val="en-US" w:eastAsia="zh-CN"/>
        </w:rPr>
        <w:t>采购人</w:t>
      </w:r>
      <w:r>
        <w:rPr>
          <w:rFonts w:hint="eastAsia"/>
        </w:rPr>
        <w:t>式、</w:t>
      </w:r>
      <w:r>
        <w:rPr>
          <w:rFonts w:hint="eastAsia"/>
          <w:lang w:val="en-US" w:eastAsia="zh-CN"/>
        </w:rPr>
        <w:t>采购</w:t>
      </w:r>
      <w:r>
        <w:rPr>
          <w:rFonts w:hint="eastAsia"/>
        </w:rPr>
        <w:t>控价</w:t>
      </w:r>
      <w:bookmarkEnd w:id="13"/>
    </w:p>
    <w:p w14:paraId="59B16943">
      <w:pPr>
        <w:spacing w:line="360" w:lineRule="auto"/>
        <w:ind w:firstLine="480" w:firstLineChars="200"/>
        <w:rPr>
          <w:rFonts w:hint="eastAsia" w:ascii="宋体" w:hAnsi="宋体" w:cs="仿宋"/>
          <w:sz w:val="24"/>
        </w:rPr>
      </w:pPr>
      <w:r>
        <w:rPr>
          <w:rFonts w:hint="eastAsia" w:ascii="宋体" w:hAnsi="宋体" w:cs="仿宋"/>
          <w:sz w:val="24"/>
        </w:rPr>
        <w:t>1.2.1 项目资金来源：</w:t>
      </w:r>
      <w:bookmarkStart w:id="14" w:name="_Toc16572"/>
      <w:bookmarkStart w:id="15" w:name="_Toc328559029"/>
      <w:bookmarkStart w:id="16" w:name="_Toc30612"/>
      <w:bookmarkStart w:id="17" w:name="_Toc247513955"/>
      <w:bookmarkStart w:id="18" w:name="_Toc247527556"/>
      <w:bookmarkStart w:id="19" w:name="_Toc300834952"/>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470CDF4A">
      <w:pPr>
        <w:spacing w:line="360" w:lineRule="auto"/>
        <w:ind w:firstLine="480" w:firstLineChars="200"/>
        <w:rPr>
          <w:rFonts w:hint="eastAsia" w:ascii="宋体" w:hAnsi="宋体" w:cs="仿宋"/>
          <w:sz w:val="24"/>
        </w:rPr>
      </w:pPr>
      <w:r>
        <w:rPr>
          <w:rFonts w:hint="eastAsia" w:ascii="宋体" w:hAnsi="宋体" w:cs="仿宋"/>
          <w:sz w:val="24"/>
        </w:rPr>
        <w:t>1.2.2</w:t>
      </w:r>
      <w:r>
        <w:rPr>
          <w:rFonts w:hint="eastAsia" w:cs="仿宋"/>
          <w:sz w:val="24"/>
          <w:lang w:val="en-US" w:eastAsia="zh-CN"/>
        </w:rPr>
        <w:t>采购人</w:t>
      </w:r>
      <w:r>
        <w:rPr>
          <w:rFonts w:hint="eastAsia" w:ascii="宋体" w:hAnsi="宋体" w:cs="仿宋"/>
          <w:sz w:val="24"/>
        </w:rPr>
        <w:t>式：详见</w:t>
      </w:r>
      <w:r>
        <w:rPr>
          <w:rFonts w:hint="eastAsia" w:cs="仿宋"/>
          <w:sz w:val="24"/>
          <w:lang w:val="en-US" w:eastAsia="zh-CN"/>
        </w:rPr>
        <w:t>谈判</w:t>
      </w:r>
      <w:r>
        <w:rPr>
          <w:rFonts w:hint="eastAsia" w:ascii="宋体" w:hAnsi="宋体" w:cs="仿宋"/>
          <w:sz w:val="24"/>
        </w:rPr>
        <w:t>须知前附表</w:t>
      </w:r>
    </w:p>
    <w:p w14:paraId="0F95B24D">
      <w:pPr>
        <w:pStyle w:val="15"/>
        <w:ind w:left="0" w:leftChars="0" w:firstLine="480" w:firstLineChars="200"/>
        <w:rPr>
          <w:rFonts w:hint="eastAsia" w:eastAsia="宋体"/>
          <w:lang w:val="en-US" w:eastAsia="zh-CN"/>
        </w:rPr>
      </w:pPr>
      <w:r>
        <w:rPr>
          <w:rFonts w:hint="eastAsia" w:ascii="宋体" w:hAnsi="宋体" w:cs="仿宋"/>
          <w:sz w:val="24"/>
          <w:lang w:val="en-US" w:eastAsia="zh-CN"/>
        </w:rPr>
        <w:t>1.2.3</w:t>
      </w:r>
      <w:r>
        <w:rPr>
          <w:rFonts w:hint="eastAsia"/>
          <w:lang w:val="en-US" w:eastAsia="zh-CN"/>
        </w:rPr>
        <w:t>采购</w:t>
      </w:r>
      <w:r>
        <w:rPr>
          <w:rFonts w:hint="eastAsia"/>
        </w:rPr>
        <w:t>控价</w:t>
      </w:r>
      <w:r>
        <w:rPr>
          <w:rFonts w:hint="eastAsia"/>
          <w:lang w:eastAsia="zh-CN"/>
        </w:rPr>
        <w:t>：</w:t>
      </w: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52EB7A60">
      <w:pPr>
        <w:pStyle w:val="35"/>
      </w:pPr>
      <w:bookmarkStart w:id="20" w:name="_Toc506105821"/>
      <w:bookmarkStart w:id="21" w:name="_Toc507936016"/>
      <w:r>
        <w:rPr>
          <w:rFonts w:hint="eastAsia"/>
        </w:rPr>
        <w:t xml:space="preserve">1.3 </w:t>
      </w:r>
      <w:r>
        <w:rPr>
          <w:rFonts w:hint="eastAsia"/>
          <w:lang w:val="en-US" w:eastAsia="zh-CN"/>
        </w:rPr>
        <w:t>采购</w:t>
      </w:r>
      <w:r>
        <w:rPr>
          <w:rFonts w:hint="eastAsia"/>
        </w:rPr>
        <w:t>范围、</w:t>
      </w:r>
      <w:r>
        <w:rPr>
          <w:rFonts w:hint="eastAsia" w:ascii="宋体" w:hAnsi="宋体" w:cs="仿宋"/>
          <w:sz w:val="24"/>
          <w:lang w:eastAsia="zh-CN"/>
        </w:rPr>
        <w:t>工期</w:t>
      </w:r>
      <w:r>
        <w:rPr>
          <w:rFonts w:hint="eastAsia"/>
        </w:rPr>
        <w:t>、</w:t>
      </w:r>
      <w:bookmarkEnd w:id="14"/>
      <w:bookmarkEnd w:id="15"/>
      <w:bookmarkEnd w:id="16"/>
      <w:bookmarkEnd w:id="17"/>
      <w:bookmarkEnd w:id="18"/>
      <w:bookmarkEnd w:id="19"/>
      <w:bookmarkEnd w:id="20"/>
      <w:r>
        <w:rPr>
          <w:rFonts w:hint="eastAsia"/>
          <w:lang w:val="en-US" w:eastAsia="zh-CN"/>
        </w:rPr>
        <w:t>交货地点</w:t>
      </w:r>
      <w:bookmarkEnd w:id="21"/>
    </w:p>
    <w:p w14:paraId="376DFCCC">
      <w:pPr>
        <w:tabs>
          <w:tab w:val="left" w:pos="220"/>
        </w:tabs>
        <w:snapToGrid w:val="0"/>
        <w:spacing w:line="360" w:lineRule="auto"/>
        <w:ind w:firstLine="480" w:firstLineChars="200"/>
        <w:rPr>
          <w:rFonts w:ascii="宋体" w:hAnsi="宋体" w:cs="仿宋"/>
          <w:sz w:val="24"/>
        </w:rPr>
      </w:pPr>
      <w:r>
        <w:rPr>
          <w:rFonts w:hint="eastAsia" w:ascii="宋体" w:hAnsi="宋体" w:cs="仿宋"/>
          <w:sz w:val="24"/>
        </w:rPr>
        <w:t xml:space="preserve">1.3.1 </w:t>
      </w:r>
      <w:r>
        <w:rPr>
          <w:rFonts w:hint="eastAsia" w:cs="仿宋"/>
          <w:sz w:val="24"/>
          <w:lang w:val="en-US" w:eastAsia="zh-CN"/>
        </w:rPr>
        <w:t>采购</w:t>
      </w:r>
      <w:r>
        <w:rPr>
          <w:rFonts w:hint="eastAsia" w:ascii="宋体" w:hAnsi="宋体" w:cs="仿宋"/>
          <w:sz w:val="24"/>
        </w:rPr>
        <w:t>范围：详见</w:t>
      </w:r>
      <w:r>
        <w:rPr>
          <w:rFonts w:hint="eastAsia" w:cs="仿宋"/>
          <w:sz w:val="24"/>
          <w:lang w:val="en-US" w:eastAsia="zh-CN"/>
        </w:rPr>
        <w:t>谈判</w:t>
      </w:r>
      <w:r>
        <w:rPr>
          <w:rFonts w:hint="eastAsia" w:ascii="宋体" w:hAnsi="宋体" w:cs="仿宋"/>
          <w:sz w:val="24"/>
        </w:rPr>
        <w:t>须知前附表</w:t>
      </w:r>
    </w:p>
    <w:p w14:paraId="6E6F4CCC">
      <w:pPr>
        <w:spacing w:line="360" w:lineRule="auto"/>
        <w:ind w:firstLine="480" w:firstLineChars="200"/>
        <w:rPr>
          <w:rFonts w:hint="eastAsia" w:ascii="宋体" w:hAnsi="宋体" w:cs="仿宋"/>
          <w:sz w:val="24"/>
        </w:rPr>
      </w:pPr>
      <w:r>
        <w:rPr>
          <w:rFonts w:hint="eastAsia" w:ascii="宋体" w:hAnsi="宋体" w:cs="仿宋"/>
          <w:sz w:val="24"/>
        </w:rPr>
        <w:t xml:space="preserve">1.3.2 </w:t>
      </w:r>
      <w:r>
        <w:rPr>
          <w:rFonts w:hint="eastAsia" w:ascii="宋体" w:hAnsi="宋体" w:cs="仿宋"/>
          <w:sz w:val="24"/>
          <w:lang w:eastAsia="zh-CN"/>
        </w:rPr>
        <w:t>工期</w:t>
      </w: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37803217">
      <w:pPr>
        <w:spacing w:line="360" w:lineRule="auto"/>
        <w:ind w:firstLine="480" w:firstLineChars="200"/>
        <w:rPr>
          <w:rFonts w:hint="eastAsia" w:ascii="宋体" w:hAnsi="宋体" w:cs="仿宋"/>
          <w:sz w:val="24"/>
        </w:rPr>
      </w:pPr>
      <w:r>
        <w:rPr>
          <w:rFonts w:hint="eastAsia" w:ascii="宋体" w:hAnsi="宋体" w:cs="仿宋"/>
          <w:sz w:val="24"/>
        </w:rPr>
        <w:t>1.3.3 交货地点：详见</w:t>
      </w:r>
      <w:r>
        <w:rPr>
          <w:rFonts w:hint="eastAsia" w:cs="仿宋"/>
          <w:sz w:val="24"/>
          <w:lang w:val="en-US" w:eastAsia="zh-CN"/>
        </w:rPr>
        <w:t>谈判</w:t>
      </w:r>
      <w:r>
        <w:rPr>
          <w:rFonts w:hint="eastAsia" w:ascii="宋体" w:hAnsi="宋体" w:cs="仿宋"/>
          <w:sz w:val="24"/>
        </w:rPr>
        <w:t>须知前附表</w:t>
      </w:r>
    </w:p>
    <w:p w14:paraId="7644F526">
      <w:pPr>
        <w:pStyle w:val="35"/>
      </w:pPr>
      <w:bookmarkStart w:id="22" w:name="_Toc507936017"/>
      <w:bookmarkStart w:id="23" w:name="_Toc506105822"/>
      <w:r>
        <w:rPr>
          <w:rFonts w:hint="eastAsia"/>
        </w:rPr>
        <w:t xml:space="preserve">1.4 </w:t>
      </w:r>
      <w:r>
        <w:rPr>
          <w:rFonts w:hint="eastAsia"/>
          <w:lang w:eastAsia="zh-CN"/>
        </w:rPr>
        <w:t>供应商</w:t>
      </w:r>
      <w:r>
        <w:rPr>
          <w:rFonts w:hint="eastAsia"/>
        </w:rPr>
        <w:t>资格要求</w:t>
      </w:r>
      <w:bookmarkEnd w:id="22"/>
      <w:bookmarkEnd w:id="23"/>
    </w:p>
    <w:p w14:paraId="6A076452">
      <w:pPr>
        <w:ind w:firstLine="480" w:firstLineChars="200"/>
        <w:rPr>
          <w:rFonts w:ascii="宋体" w:hAnsi="宋体" w:cs="仿宋"/>
          <w:sz w:val="24"/>
        </w:rPr>
      </w:pPr>
      <w:r>
        <w:rPr>
          <w:rFonts w:hint="eastAsia" w:ascii="宋体" w:hAnsi="宋体" w:cs="仿宋"/>
          <w:sz w:val="24"/>
        </w:rPr>
        <w:t xml:space="preserve">1.4.1 </w:t>
      </w:r>
      <w:r>
        <w:rPr>
          <w:rFonts w:hint="eastAsia" w:cs="宋体"/>
          <w:sz w:val="24"/>
          <w:lang w:val="en-US" w:eastAsia="zh-CN"/>
        </w:rPr>
        <w:t>供应商</w:t>
      </w:r>
      <w:r>
        <w:rPr>
          <w:rFonts w:hint="eastAsia" w:ascii="宋体" w:hAnsi="宋体" w:cs="仿宋"/>
          <w:sz w:val="24"/>
        </w:rPr>
        <w:t>资格要求：详见</w:t>
      </w:r>
      <w:r>
        <w:rPr>
          <w:rFonts w:hint="eastAsia" w:cs="仿宋"/>
          <w:sz w:val="24"/>
          <w:lang w:val="en-US" w:eastAsia="zh-CN"/>
        </w:rPr>
        <w:t>谈判</w:t>
      </w:r>
      <w:r>
        <w:rPr>
          <w:rFonts w:hint="eastAsia" w:ascii="宋体" w:hAnsi="宋体" w:cs="仿宋"/>
          <w:sz w:val="24"/>
        </w:rPr>
        <w:t>须知前附表</w:t>
      </w:r>
    </w:p>
    <w:p w14:paraId="43E86B43">
      <w:pPr>
        <w:spacing w:line="360" w:lineRule="auto"/>
        <w:ind w:firstLine="480" w:firstLineChars="200"/>
        <w:rPr>
          <w:rFonts w:hint="eastAsia" w:ascii="宋体" w:hAnsi="宋体" w:cs="仿宋"/>
          <w:sz w:val="24"/>
        </w:rPr>
      </w:pPr>
      <w:r>
        <w:rPr>
          <w:rFonts w:hint="eastAsia" w:ascii="宋体" w:hAnsi="宋体" w:cs="仿宋"/>
          <w:sz w:val="24"/>
        </w:rPr>
        <w:t>1.4.2 本</w:t>
      </w:r>
      <w:r>
        <w:rPr>
          <w:rFonts w:hint="eastAsia" w:cs="仿宋"/>
          <w:sz w:val="24"/>
          <w:lang w:val="en-US" w:eastAsia="zh-CN"/>
        </w:rPr>
        <w:t>次采购</w:t>
      </w:r>
      <w:r>
        <w:rPr>
          <w:rFonts w:hint="eastAsia" w:ascii="宋体" w:hAnsi="宋体" w:cs="仿宋"/>
          <w:sz w:val="24"/>
        </w:rPr>
        <w:t>不接受联合体。</w:t>
      </w:r>
    </w:p>
    <w:p w14:paraId="10DFC72E">
      <w:pPr>
        <w:spacing w:line="360" w:lineRule="auto"/>
        <w:ind w:firstLine="480" w:firstLineChars="200"/>
        <w:rPr>
          <w:rFonts w:hint="eastAsia" w:ascii="宋体" w:hAnsi="宋体" w:eastAsia="宋体" w:cs="宋体"/>
          <w:sz w:val="24"/>
        </w:rPr>
      </w:pPr>
      <w:bookmarkStart w:id="24" w:name="_Toc507936018"/>
      <w:bookmarkStart w:id="25" w:name="_Toc506105823"/>
      <w:r>
        <w:rPr>
          <w:rFonts w:hint="eastAsia" w:ascii="宋体" w:hAnsi="宋体" w:eastAsia="宋体" w:cs="宋体"/>
          <w:sz w:val="24"/>
        </w:rPr>
        <w:t>1.4.3供应商不得存在下列情形之一：</w:t>
      </w:r>
    </w:p>
    <w:p w14:paraId="5F933186">
      <w:pPr>
        <w:spacing w:line="360" w:lineRule="auto"/>
        <w:ind w:firstLine="480" w:firstLineChars="200"/>
        <w:rPr>
          <w:rFonts w:hint="eastAsia" w:ascii="宋体" w:hAnsi="宋体" w:eastAsia="宋体" w:cs="宋体"/>
          <w:sz w:val="24"/>
        </w:rPr>
      </w:pPr>
      <w:r>
        <w:rPr>
          <w:rFonts w:hint="eastAsia" w:ascii="宋体" w:hAnsi="宋体" w:eastAsia="宋体" w:cs="宋体"/>
          <w:sz w:val="24"/>
        </w:rPr>
        <w:t>（1）与</w:t>
      </w:r>
      <w:r>
        <w:rPr>
          <w:rFonts w:hint="eastAsia" w:ascii="宋体" w:hAnsi="宋体" w:eastAsia="宋体" w:cs="宋体"/>
          <w:sz w:val="24"/>
          <w:lang w:val="en-US" w:eastAsia="zh-CN"/>
        </w:rPr>
        <w:t>采购</w:t>
      </w:r>
      <w:r>
        <w:rPr>
          <w:rFonts w:hint="eastAsia" w:ascii="宋体" w:hAnsi="宋体" w:eastAsia="宋体" w:cs="宋体"/>
          <w:sz w:val="24"/>
        </w:rPr>
        <w:t>人存在利害关系且可能影响</w:t>
      </w:r>
      <w:r>
        <w:rPr>
          <w:rFonts w:hint="eastAsia" w:ascii="宋体" w:hAnsi="宋体" w:eastAsia="宋体" w:cs="宋体"/>
          <w:sz w:val="24"/>
          <w:lang w:val="en-US" w:eastAsia="zh-CN"/>
        </w:rPr>
        <w:t>采购</w:t>
      </w:r>
      <w:r>
        <w:rPr>
          <w:rFonts w:hint="eastAsia" w:ascii="宋体" w:hAnsi="宋体" w:eastAsia="宋体" w:cs="宋体"/>
          <w:sz w:val="24"/>
        </w:rPr>
        <w:t>公正性；</w:t>
      </w:r>
    </w:p>
    <w:p w14:paraId="3F8301F3">
      <w:pPr>
        <w:spacing w:line="360" w:lineRule="auto"/>
        <w:ind w:firstLine="480" w:firstLineChars="200"/>
        <w:rPr>
          <w:rFonts w:hint="eastAsia" w:ascii="宋体" w:hAnsi="宋体" w:eastAsia="宋体" w:cs="宋体"/>
          <w:sz w:val="24"/>
        </w:rPr>
      </w:pPr>
      <w:r>
        <w:rPr>
          <w:rFonts w:hint="eastAsia" w:ascii="宋体" w:hAnsi="宋体" w:eastAsia="宋体" w:cs="宋体"/>
          <w:sz w:val="24"/>
        </w:rPr>
        <w:t>（2）与本采购项目的其他供应商为同一个单位负责人；</w:t>
      </w:r>
    </w:p>
    <w:p w14:paraId="7C1C6680">
      <w:pPr>
        <w:spacing w:line="360" w:lineRule="auto"/>
        <w:ind w:firstLine="480" w:firstLineChars="200"/>
        <w:rPr>
          <w:rFonts w:hint="eastAsia" w:ascii="宋体" w:hAnsi="宋体" w:eastAsia="宋体" w:cs="宋体"/>
          <w:sz w:val="24"/>
        </w:rPr>
      </w:pPr>
      <w:r>
        <w:rPr>
          <w:rFonts w:hint="eastAsia" w:ascii="宋体" w:hAnsi="宋体" w:eastAsia="宋体" w:cs="宋体"/>
          <w:sz w:val="24"/>
        </w:rPr>
        <w:t>（3）与本采购项目的其他供应商存在控股、管理关系；</w:t>
      </w:r>
    </w:p>
    <w:p w14:paraId="1A0F892D">
      <w:pPr>
        <w:spacing w:line="360" w:lineRule="auto"/>
        <w:ind w:firstLine="480" w:firstLineChars="200"/>
        <w:rPr>
          <w:rFonts w:hint="eastAsia" w:ascii="宋体" w:hAnsi="宋体" w:eastAsia="宋体" w:cs="宋体"/>
          <w:sz w:val="24"/>
        </w:rPr>
      </w:pPr>
      <w:r>
        <w:rPr>
          <w:rFonts w:hint="eastAsia" w:ascii="宋体" w:hAnsi="宋体" w:eastAsia="宋体" w:cs="宋体"/>
          <w:sz w:val="24"/>
        </w:rPr>
        <w:t>（4）与本采购项目其他供应商代理同一个制造商同一品牌同一型号的设备；</w:t>
      </w:r>
    </w:p>
    <w:p w14:paraId="24380CEB">
      <w:pPr>
        <w:spacing w:line="360" w:lineRule="auto"/>
        <w:ind w:firstLine="480" w:firstLineChars="200"/>
        <w:rPr>
          <w:rFonts w:hint="eastAsia" w:ascii="宋体" w:hAnsi="宋体" w:eastAsia="宋体" w:cs="宋体"/>
          <w:sz w:val="24"/>
        </w:rPr>
      </w:pPr>
      <w:r>
        <w:rPr>
          <w:rFonts w:hint="eastAsia" w:ascii="宋体" w:hAnsi="宋体" w:eastAsia="宋体" w:cs="宋体"/>
          <w:sz w:val="24"/>
        </w:rPr>
        <w:t>（5）被依法暂停或者取消资格；</w:t>
      </w:r>
    </w:p>
    <w:p w14:paraId="43A9BE2B">
      <w:pPr>
        <w:spacing w:line="360" w:lineRule="auto"/>
        <w:ind w:firstLine="480" w:firstLineChars="200"/>
        <w:rPr>
          <w:rFonts w:hint="eastAsia" w:ascii="宋体" w:hAnsi="宋体" w:eastAsia="宋体" w:cs="宋体"/>
          <w:sz w:val="24"/>
        </w:rPr>
      </w:pPr>
      <w:r>
        <w:rPr>
          <w:rFonts w:hint="eastAsia" w:ascii="宋体" w:hAnsi="宋体" w:eastAsia="宋体" w:cs="宋体"/>
          <w:sz w:val="24"/>
        </w:rPr>
        <w:t>（6）被责令停产停业、暂扣或者吊销许可证、暂扣或者吊销执照；</w:t>
      </w:r>
    </w:p>
    <w:p w14:paraId="6349B75C">
      <w:pPr>
        <w:spacing w:line="360" w:lineRule="auto"/>
        <w:ind w:firstLine="480" w:firstLineChars="200"/>
        <w:rPr>
          <w:rFonts w:hint="eastAsia" w:ascii="宋体" w:hAnsi="宋体" w:eastAsia="宋体" w:cs="宋体"/>
          <w:sz w:val="24"/>
        </w:rPr>
      </w:pPr>
      <w:r>
        <w:rPr>
          <w:rFonts w:hint="eastAsia" w:ascii="宋体" w:hAnsi="宋体" w:eastAsia="宋体" w:cs="宋体"/>
          <w:sz w:val="24"/>
        </w:rPr>
        <w:t>（7）进入清算程序，或被宣告破产，或其他丧失履约能力的情形；</w:t>
      </w:r>
    </w:p>
    <w:p w14:paraId="01950160">
      <w:pPr>
        <w:spacing w:line="360" w:lineRule="auto"/>
        <w:ind w:firstLine="480" w:firstLineChars="200"/>
        <w:rPr>
          <w:rFonts w:hint="eastAsia" w:ascii="宋体" w:hAnsi="宋体" w:eastAsia="宋体" w:cs="宋体"/>
          <w:sz w:val="24"/>
        </w:rPr>
      </w:pPr>
      <w:r>
        <w:rPr>
          <w:rFonts w:hint="eastAsia" w:ascii="宋体" w:hAnsi="宋体" w:eastAsia="宋体" w:cs="宋体"/>
          <w:sz w:val="24"/>
        </w:rPr>
        <w:t>（8）在最近三年内发生重大产品质量问题（以相关行业主管部门的行政处罚决定或司法 机关出具的有关法律文书为准）；</w:t>
      </w:r>
    </w:p>
    <w:p w14:paraId="4FCAE355">
      <w:pPr>
        <w:spacing w:line="360" w:lineRule="auto"/>
        <w:ind w:firstLine="480" w:firstLineChars="200"/>
        <w:rPr>
          <w:rFonts w:hint="eastAsia" w:ascii="宋体" w:hAnsi="宋体" w:eastAsia="宋体" w:cs="宋体"/>
          <w:sz w:val="24"/>
        </w:rPr>
      </w:pPr>
      <w:r>
        <w:rPr>
          <w:rFonts w:hint="eastAsia" w:ascii="宋体" w:hAnsi="宋体" w:eastAsia="宋体" w:cs="宋体"/>
          <w:sz w:val="24"/>
        </w:rPr>
        <w:t>（9）被工商行政管理机关在全国企业信用信息公示系统中列入严重违法失信企业名单；</w:t>
      </w:r>
    </w:p>
    <w:p w14:paraId="2304E2A8">
      <w:pPr>
        <w:spacing w:line="360" w:lineRule="auto"/>
        <w:ind w:firstLine="480" w:firstLineChars="200"/>
        <w:rPr>
          <w:rFonts w:hint="eastAsia" w:ascii="宋体" w:hAnsi="宋体" w:eastAsia="宋体" w:cs="宋体"/>
          <w:sz w:val="24"/>
        </w:rPr>
      </w:pPr>
      <w:r>
        <w:rPr>
          <w:rFonts w:hint="eastAsia" w:ascii="宋体" w:hAnsi="宋体" w:eastAsia="宋体" w:cs="宋体"/>
          <w:sz w:val="24"/>
        </w:rPr>
        <w:t>（10）被最高人民法院在“信用中国”网站（www.creditchina.gov.cn)或各级信用信息共享平台中列入失信被执行人名单；</w:t>
      </w:r>
    </w:p>
    <w:p w14:paraId="1BC83105">
      <w:pPr>
        <w:spacing w:line="360" w:lineRule="auto"/>
        <w:ind w:firstLine="480" w:firstLineChars="200"/>
        <w:rPr>
          <w:rFonts w:hint="eastAsia" w:ascii="宋体" w:hAnsi="宋体" w:eastAsia="宋体" w:cs="宋体"/>
          <w:sz w:val="24"/>
        </w:rPr>
      </w:pPr>
      <w:r>
        <w:rPr>
          <w:rFonts w:hint="eastAsia" w:ascii="宋体" w:hAnsi="宋体" w:eastAsia="宋体" w:cs="宋体"/>
          <w:sz w:val="24"/>
        </w:rPr>
        <w:t>（11）在近三年内供应商或其法定代表人有行贿犯罪行为的（以检察机关职务犯罪预防部门出具的查询结果为准）；</w:t>
      </w:r>
    </w:p>
    <w:p w14:paraId="56354674">
      <w:pPr>
        <w:spacing w:line="360" w:lineRule="auto"/>
        <w:ind w:firstLine="480" w:firstLineChars="200"/>
        <w:rPr>
          <w:rFonts w:hint="eastAsia" w:ascii="宋体" w:hAnsi="宋体" w:eastAsia="宋体" w:cs="宋体"/>
          <w:sz w:val="24"/>
        </w:rPr>
      </w:pPr>
      <w:r>
        <w:rPr>
          <w:rFonts w:hint="eastAsia" w:ascii="宋体" w:hAnsi="宋体" w:eastAsia="宋体" w:cs="宋体"/>
          <w:sz w:val="24"/>
        </w:rPr>
        <w:t>（12）法律法规或供应商须知前附表规定的其他情形。</w:t>
      </w:r>
    </w:p>
    <w:p w14:paraId="61C88622">
      <w:pPr>
        <w:pStyle w:val="35"/>
      </w:pPr>
      <w:r>
        <w:rPr>
          <w:rFonts w:hint="eastAsia"/>
        </w:rPr>
        <w:t>1.5 费用承担</w:t>
      </w:r>
      <w:bookmarkEnd w:id="24"/>
      <w:bookmarkEnd w:id="25"/>
    </w:p>
    <w:p w14:paraId="46EEA069">
      <w:pPr>
        <w:ind w:firstLine="480" w:firstLineChars="200"/>
        <w:rPr>
          <w:rFonts w:ascii="宋体" w:hAnsi="宋体" w:cs="仿宋"/>
          <w:sz w:val="24"/>
        </w:rPr>
      </w:pPr>
      <w:r>
        <w:rPr>
          <w:rFonts w:hint="eastAsia" w:cs="宋体"/>
          <w:sz w:val="24"/>
          <w:lang w:val="en-US" w:eastAsia="zh-CN"/>
        </w:rPr>
        <w:t>供应商</w:t>
      </w:r>
      <w:r>
        <w:rPr>
          <w:rFonts w:hint="eastAsia" w:ascii="宋体" w:hAnsi="宋体" w:cs="仿宋"/>
          <w:sz w:val="24"/>
        </w:rPr>
        <w:t>准备和参加</w:t>
      </w:r>
      <w:r>
        <w:rPr>
          <w:rFonts w:hint="eastAsia" w:cs="仿宋"/>
          <w:sz w:val="24"/>
          <w:lang w:val="en-US" w:eastAsia="zh-CN"/>
        </w:rPr>
        <w:t>谈判</w:t>
      </w:r>
      <w:r>
        <w:rPr>
          <w:rFonts w:hint="eastAsia" w:ascii="宋体" w:hAnsi="宋体" w:cs="仿宋"/>
          <w:sz w:val="24"/>
        </w:rPr>
        <w:t>活动发生的费用自理。</w:t>
      </w:r>
    </w:p>
    <w:p w14:paraId="69AD7D65">
      <w:pPr>
        <w:pStyle w:val="35"/>
      </w:pPr>
      <w:bookmarkStart w:id="26" w:name="_Toc507936019"/>
      <w:bookmarkStart w:id="27" w:name="_Toc506105824"/>
      <w:r>
        <w:rPr>
          <w:rFonts w:hint="eastAsia"/>
        </w:rPr>
        <w:t>1.6 保密</w:t>
      </w:r>
      <w:bookmarkEnd w:id="26"/>
      <w:bookmarkEnd w:id="27"/>
    </w:p>
    <w:p w14:paraId="2C978313">
      <w:pPr>
        <w:spacing w:line="360" w:lineRule="auto"/>
        <w:ind w:firstLine="480" w:firstLineChars="200"/>
        <w:rPr>
          <w:rFonts w:ascii="宋体" w:hAnsi="宋体" w:cs="仿宋"/>
          <w:sz w:val="24"/>
        </w:rPr>
      </w:pPr>
      <w:r>
        <w:rPr>
          <w:rFonts w:hint="eastAsia" w:ascii="宋体" w:hAnsi="宋体" w:cs="仿宋"/>
          <w:sz w:val="24"/>
        </w:rPr>
        <w:t>参与</w:t>
      </w:r>
      <w:r>
        <w:rPr>
          <w:rFonts w:hint="eastAsia" w:cs="仿宋"/>
          <w:sz w:val="24"/>
          <w:lang w:val="en-US" w:eastAsia="zh-CN"/>
        </w:rPr>
        <w:t>谈判</w:t>
      </w:r>
      <w:r>
        <w:rPr>
          <w:rFonts w:hint="eastAsia" w:ascii="宋体" w:hAnsi="宋体" w:cs="仿宋"/>
          <w:sz w:val="24"/>
        </w:rPr>
        <w:t>活动的各方应对</w:t>
      </w:r>
      <w:r>
        <w:rPr>
          <w:rFonts w:hint="eastAsia" w:cs="仿宋"/>
          <w:sz w:val="24"/>
          <w:lang w:val="en-US" w:eastAsia="zh-CN"/>
        </w:rPr>
        <w:t>谈判</w:t>
      </w:r>
      <w:r>
        <w:rPr>
          <w:rFonts w:hint="eastAsia" w:ascii="宋体" w:hAnsi="宋体" w:cs="仿宋"/>
          <w:sz w:val="24"/>
        </w:rPr>
        <w:t>文件和</w:t>
      </w:r>
      <w:r>
        <w:rPr>
          <w:rFonts w:hint="eastAsia" w:cs="仿宋"/>
          <w:sz w:val="24"/>
          <w:lang w:val="en-US" w:eastAsia="zh-CN"/>
        </w:rPr>
        <w:t>响应</w:t>
      </w:r>
      <w:r>
        <w:rPr>
          <w:rFonts w:hint="eastAsia" w:ascii="宋体" w:hAnsi="宋体" w:cs="仿宋"/>
          <w:sz w:val="24"/>
        </w:rPr>
        <w:t>文件中的商业和技术等秘密保密，违者应对由此造成的后果承担法律责任。</w:t>
      </w:r>
    </w:p>
    <w:p w14:paraId="4DC877B5">
      <w:pPr>
        <w:pStyle w:val="35"/>
      </w:pPr>
      <w:bookmarkStart w:id="28" w:name="_Toc506105825"/>
      <w:bookmarkStart w:id="29" w:name="_Toc507936020"/>
      <w:r>
        <w:rPr>
          <w:rFonts w:hint="eastAsia"/>
        </w:rPr>
        <w:t>1.7 语言文字</w:t>
      </w:r>
      <w:bookmarkEnd w:id="28"/>
      <w:bookmarkEnd w:id="29"/>
    </w:p>
    <w:p w14:paraId="242CDEC8">
      <w:pPr>
        <w:spacing w:line="360" w:lineRule="auto"/>
        <w:ind w:firstLine="480" w:firstLineChars="200"/>
        <w:rPr>
          <w:rFonts w:ascii="宋体" w:hAnsi="宋体" w:cs="仿宋"/>
          <w:sz w:val="24"/>
        </w:rPr>
      </w:pPr>
      <w:r>
        <w:rPr>
          <w:rFonts w:hint="eastAsia" w:ascii="宋体" w:hAnsi="宋体" w:cs="仿宋"/>
          <w:sz w:val="24"/>
        </w:rPr>
        <w:t>除专用术语外，与</w:t>
      </w:r>
      <w:r>
        <w:rPr>
          <w:rFonts w:hint="eastAsia" w:cs="仿宋"/>
          <w:sz w:val="24"/>
          <w:lang w:val="en-US" w:eastAsia="zh-CN"/>
        </w:rPr>
        <w:t>谈判</w:t>
      </w:r>
      <w:r>
        <w:rPr>
          <w:rFonts w:hint="eastAsia" w:ascii="宋体" w:hAnsi="宋体" w:cs="仿宋"/>
          <w:sz w:val="24"/>
        </w:rPr>
        <w:t>有关的语言均使用中文</w:t>
      </w:r>
      <w:r>
        <w:rPr>
          <w:rFonts w:hint="eastAsia" w:cs="仿宋"/>
          <w:sz w:val="24"/>
          <w:lang w:eastAsia="zh-CN"/>
        </w:rPr>
        <w:t>，</w:t>
      </w:r>
      <w:r>
        <w:rPr>
          <w:rFonts w:hint="eastAsia" w:ascii="宋体" w:hAnsi="宋体" w:cs="仿宋"/>
          <w:sz w:val="24"/>
        </w:rPr>
        <w:t>必要时专用术语应附有中文注释。</w:t>
      </w:r>
    </w:p>
    <w:p w14:paraId="4E159E0D">
      <w:pPr>
        <w:pStyle w:val="35"/>
      </w:pPr>
      <w:bookmarkStart w:id="30" w:name="_Toc507936021"/>
      <w:bookmarkStart w:id="31" w:name="_Toc506105826"/>
      <w:r>
        <w:rPr>
          <w:rFonts w:hint="eastAsia"/>
        </w:rPr>
        <w:t>1.8 计量单位</w:t>
      </w:r>
      <w:bookmarkEnd w:id="30"/>
      <w:bookmarkEnd w:id="31"/>
    </w:p>
    <w:p w14:paraId="2E8F797C">
      <w:pPr>
        <w:spacing w:line="360" w:lineRule="auto"/>
        <w:ind w:firstLine="480" w:firstLineChars="200"/>
        <w:rPr>
          <w:rFonts w:ascii="宋体" w:hAnsi="宋体" w:cs="仿宋"/>
          <w:sz w:val="24"/>
        </w:rPr>
      </w:pPr>
      <w:r>
        <w:rPr>
          <w:rFonts w:hint="eastAsia" w:ascii="宋体" w:hAnsi="宋体" w:cs="仿宋"/>
          <w:sz w:val="24"/>
        </w:rPr>
        <w:t>所有计量均采用中华人民共和国法定计量单位。</w:t>
      </w:r>
    </w:p>
    <w:p w14:paraId="56118465">
      <w:pPr>
        <w:pStyle w:val="35"/>
      </w:pPr>
      <w:bookmarkStart w:id="32" w:name="_Toc506105827"/>
      <w:bookmarkStart w:id="33" w:name="_Toc507936022"/>
      <w:r>
        <w:rPr>
          <w:rFonts w:hint="eastAsia"/>
        </w:rPr>
        <w:t>1.9 踏勘现场</w:t>
      </w:r>
      <w:bookmarkEnd w:id="32"/>
      <w:bookmarkEnd w:id="33"/>
    </w:p>
    <w:p w14:paraId="4B9D4087">
      <w:pPr>
        <w:spacing w:line="360" w:lineRule="auto"/>
        <w:ind w:firstLine="480" w:firstLineChars="200"/>
        <w:rPr>
          <w:rStyle w:val="28"/>
        </w:rPr>
      </w:pPr>
      <w:r>
        <w:rPr>
          <w:rFonts w:hint="eastAsia" w:ascii="宋体" w:hAnsi="宋体" w:cs="仿宋"/>
          <w:sz w:val="24"/>
        </w:rPr>
        <w:t>1.9.1详见</w:t>
      </w:r>
      <w:r>
        <w:rPr>
          <w:rFonts w:hint="eastAsia" w:cs="仿宋"/>
          <w:sz w:val="24"/>
          <w:lang w:val="en-US" w:eastAsia="zh-CN"/>
        </w:rPr>
        <w:t>谈判</w:t>
      </w:r>
      <w:r>
        <w:rPr>
          <w:rFonts w:hint="eastAsia" w:ascii="宋体" w:hAnsi="宋体" w:cs="仿宋"/>
          <w:sz w:val="24"/>
        </w:rPr>
        <w:t>须知前附表</w:t>
      </w:r>
    </w:p>
    <w:p w14:paraId="7604A7DD">
      <w:pPr>
        <w:pStyle w:val="35"/>
      </w:pPr>
      <w:bookmarkStart w:id="34" w:name="_Toc507936023"/>
      <w:bookmarkStart w:id="35" w:name="_Toc506105828"/>
      <w:r>
        <w:rPr>
          <w:rFonts w:hint="eastAsia"/>
        </w:rPr>
        <w:t xml:space="preserve">1.10 </w:t>
      </w:r>
      <w:r>
        <w:rPr>
          <w:rFonts w:hint="eastAsia"/>
          <w:lang w:val="en-US" w:eastAsia="zh-CN"/>
        </w:rPr>
        <w:t>谈判</w:t>
      </w:r>
      <w:r>
        <w:rPr>
          <w:rFonts w:hint="eastAsia"/>
        </w:rPr>
        <w:t>预备会</w:t>
      </w:r>
      <w:bookmarkEnd w:id="34"/>
      <w:bookmarkEnd w:id="35"/>
    </w:p>
    <w:p w14:paraId="22431B50">
      <w:pPr>
        <w:spacing w:line="360" w:lineRule="auto"/>
        <w:ind w:firstLine="480" w:firstLineChars="200"/>
        <w:rPr>
          <w:rFonts w:hint="eastAsia" w:ascii="宋体" w:hAnsi="宋体" w:cs="仿宋"/>
          <w:sz w:val="24"/>
        </w:rPr>
      </w:pPr>
      <w:r>
        <w:rPr>
          <w:rFonts w:hint="eastAsia" w:ascii="宋体" w:hAnsi="宋体" w:cs="仿宋"/>
          <w:sz w:val="24"/>
        </w:rPr>
        <w:t>1.10.1</w:t>
      </w:r>
      <w:r>
        <w:rPr>
          <w:rFonts w:hint="eastAsia" w:cs="仿宋"/>
          <w:sz w:val="24"/>
          <w:lang w:val="en-US" w:eastAsia="zh-CN"/>
        </w:rPr>
        <w:t>采购</w:t>
      </w:r>
      <w:r>
        <w:rPr>
          <w:rFonts w:hint="eastAsia" w:ascii="宋体" w:hAnsi="宋体" w:cs="仿宋"/>
          <w:sz w:val="24"/>
        </w:rPr>
        <w:t>人不召开</w:t>
      </w:r>
      <w:r>
        <w:rPr>
          <w:rFonts w:hint="eastAsia" w:cs="仿宋"/>
          <w:sz w:val="24"/>
          <w:lang w:val="en-US" w:eastAsia="zh-CN"/>
        </w:rPr>
        <w:t>谈判</w:t>
      </w:r>
      <w:r>
        <w:rPr>
          <w:rFonts w:hint="eastAsia" w:ascii="宋体" w:hAnsi="宋体" w:cs="仿宋"/>
          <w:sz w:val="24"/>
        </w:rPr>
        <w:t>预备会。</w:t>
      </w:r>
    </w:p>
    <w:p w14:paraId="43F087D1">
      <w:pPr>
        <w:pStyle w:val="41"/>
        <w:rPr>
          <w:rStyle w:val="28"/>
          <w:rFonts w:hint="eastAsia" w:ascii="Times New Roman" w:hAnsi="Times New Roman" w:eastAsia="宋体" w:cs="Times New Roman"/>
          <w:b w:val="0"/>
          <w:bCs w:val="0"/>
        </w:rPr>
      </w:pPr>
      <w:bookmarkStart w:id="36" w:name="_Toc507936024"/>
      <w:r>
        <w:rPr>
          <w:rStyle w:val="28"/>
          <w:rFonts w:hint="eastAsia" w:ascii="Times New Roman" w:hAnsi="Times New Roman" w:eastAsia="宋体" w:cs="Times New Roman"/>
          <w:b w:val="0"/>
          <w:bCs w:val="0"/>
        </w:rPr>
        <w:t>2.</w:t>
      </w:r>
      <w:r>
        <w:rPr>
          <w:rStyle w:val="28"/>
          <w:rFonts w:hint="eastAsia" w:ascii="Times New Roman" w:hAnsi="Times New Roman" w:eastAsia="宋体" w:cs="Times New Roman"/>
          <w:b w:val="0"/>
          <w:bCs w:val="0"/>
          <w:lang w:val="en-US" w:eastAsia="zh-CN"/>
        </w:rPr>
        <w:t>谈判</w:t>
      </w:r>
      <w:r>
        <w:rPr>
          <w:rStyle w:val="28"/>
          <w:rFonts w:hint="eastAsia" w:ascii="Times New Roman" w:hAnsi="Times New Roman" w:eastAsia="宋体" w:cs="Times New Roman"/>
          <w:b w:val="0"/>
          <w:bCs w:val="0"/>
        </w:rPr>
        <w:t>文件</w:t>
      </w:r>
      <w:bookmarkEnd w:id="36"/>
    </w:p>
    <w:p w14:paraId="39DA318E">
      <w:pPr>
        <w:pStyle w:val="35"/>
        <w:rPr>
          <w:rFonts w:hint="default" w:eastAsia="宋体"/>
          <w:lang w:val="en-US" w:eastAsia="zh-CN"/>
        </w:rPr>
      </w:pPr>
      <w:bookmarkStart w:id="37" w:name="_Toc506105830"/>
      <w:bookmarkStart w:id="38" w:name="_Toc507936025"/>
      <w:r>
        <w:rPr>
          <w:rFonts w:hint="eastAsia"/>
        </w:rPr>
        <w:t xml:space="preserve">2.1 </w:t>
      </w:r>
      <w:r>
        <w:rPr>
          <w:rFonts w:hint="eastAsia"/>
          <w:lang w:val="en-US" w:eastAsia="zh-CN"/>
        </w:rPr>
        <w:t>谈判</w:t>
      </w:r>
      <w:r>
        <w:rPr>
          <w:rFonts w:hint="eastAsia"/>
        </w:rPr>
        <w:t>文件的内容</w:t>
      </w:r>
      <w:bookmarkEnd w:id="37"/>
      <w:bookmarkEnd w:id="38"/>
      <w:r>
        <w:rPr>
          <w:rFonts w:hint="eastAsia"/>
          <w:lang w:val="en-US" w:eastAsia="zh-CN"/>
        </w:rPr>
        <w:t>和发布</w:t>
      </w:r>
    </w:p>
    <w:p w14:paraId="2BBF375A">
      <w:pPr>
        <w:spacing w:line="360" w:lineRule="auto"/>
        <w:ind w:firstLine="480" w:firstLineChars="200"/>
        <w:rPr>
          <w:rFonts w:ascii="宋体" w:hAnsi="宋体" w:cs="仿宋"/>
          <w:sz w:val="24"/>
        </w:rPr>
      </w:pPr>
      <w:r>
        <w:rPr>
          <w:rFonts w:hint="eastAsia" w:ascii="宋体" w:hAnsi="宋体" w:cs="仿宋"/>
          <w:sz w:val="24"/>
        </w:rPr>
        <w:t>2.1.1</w:t>
      </w:r>
      <w:r>
        <w:rPr>
          <w:rFonts w:hint="eastAsia" w:cs="仿宋"/>
          <w:sz w:val="24"/>
          <w:lang w:val="en-US" w:eastAsia="zh-CN"/>
        </w:rPr>
        <w:t>谈判</w:t>
      </w:r>
      <w:r>
        <w:rPr>
          <w:rFonts w:hint="eastAsia" w:ascii="宋体" w:hAnsi="宋体" w:cs="仿宋"/>
          <w:sz w:val="24"/>
        </w:rPr>
        <w:t>文件包括：</w:t>
      </w:r>
    </w:p>
    <w:p w14:paraId="0506289A">
      <w:pPr>
        <w:spacing w:line="360" w:lineRule="auto"/>
        <w:ind w:firstLine="480" w:firstLineChars="200"/>
        <w:rPr>
          <w:rFonts w:ascii="宋体" w:hAnsi="宋体" w:cs="仿宋"/>
          <w:sz w:val="24"/>
        </w:rPr>
      </w:pPr>
      <w:r>
        <w:rPr>
          <w:rFonts w:hint="eastAsia" w:ascii="宋体" w:hAnsi="宋体" w:cs="仿宋"/>
          <w:sz w:val="24"/>
        </w:rPr>
        <w:t>（1）</w:t>
      </w:r>
      <w:r>
        <w:rPr>
          <w:rFonts w:hint="eastAsia" w:cs="仿宋"/>
          <w:sz w:val="24"/>
          <w:lang w:val="en-US" w:eastAsia="zh-CN"/>
        </w:rPr>
        <w:t>谈判公告</w:t>
      </w:r>
    </w:p>
    <w:p w14:paraId="47E25999">
      <w:pPr>
        <w:spacing w:line="360" w:lineRule="auto"/>
        <w:ind w:firstLine="480" w:firstLineChars="200"/>
        <w:rPr>
          <w:rFonts w:ascii="宋体" w:hAnsi="宋体" w:cs="仿宋"/>
          <w:sz w:val="24"/>
        </w:rPr>
      </w:pPr>
      <w:r>
        <w:rPr>
          <w:rFonts w:hint="eastAsia" w:ascii="宋体" w:hAnsi="宋体" w:cs="仿宋"/>
          <w:sz w:val="24"/>
        </w:rPr>
        <w:t>（2）</w:t>
      </w:r>
      <w:r>
        <w:rPr>
          <w:rFonts w:hint="eastAsia" w:cs="仿宋"/>
          <w:sz w:val="24"/>
          <w:lang w:val="en-US" w:eastAsia="zh-CN"/>
        </w:rPr>
        <w:t>谈判</w:t>
      </w:r>
      <w:r>
        <w:rPr>
          <w:rFonts w:hint="eastAsia" w:ascii="宋体" w:hAnsi="宋体" w:cs="仿宋"/>
          <w:sz w:val="24"/>
        </w:rPr>
        <w:t>须知</w:t>
      </w:r>
    </w:p>
    <w:p w14:paraId="6FDCE82B">
      <w:pPr>
        <w:spacing w:line="360" w:lineRule="auto"/>
        <w:ind w:firstLine="480" w:firstLineChars="200"/>
        <w:rPr>
          <w:rFonts w:ascii="宋体" w:hAnsi="宋体" w:cs="仿宋"/>
          <w:sz w:val="24"/>
        </w:rPr>
      </w:pPr>
      <w:r>
        <w:rPr>
          <w:rFonts w:hint="eastAsia" w:ascii="宋体" w:hAnsi="宋体" w:cs="仿宋"/>
          <w:sz w:val="24"/>
        </w:rPr>
        <w:t>（3）评</w:t>
      </w:r>
      <w:r>
        <w:rPr>
          <w:rFonts w:hint="eastAsia" w:cs="仿宋"/>
          <w:sz w:val="24"/>
          <w:lang w:val="en-US" w:eastAsia="zh-CN"/>
        </w:rPr>
        <w:t>审</w:t>
      </w:r>
      <w:r>
        <w:rPr>
          <w:rFonts w:hint="eastAsia" w:ascii="宋体" w:hAnsi="宋体" w:cs="仿宋"/>
          <w:sz w:val="24"/>
        </w:rPr>
        <w:t>办法</w:t>
      </w:r>
    </w:p>
    <w:p w14:paraId="4B3D692A">
      <w:pPr>
        <w:spacing w:line="360" w:lineRule="auto"/>
        <w:ind w:firstLine="480" w:firstLineChars="200"/>
        <w:rPr>
          <w:rFonts w:ascii="宋体" w:hAnsi="宋体" w:cs="仿宋"/>
          <w:sz w:val="24"/>
        </w:rPr>
      </w:pPr>
      <w:r>
        <w:rPr>
          <w:rFonts w:hint="eastAsia" w:ascii="宋体" w:hAnsi="宋体" w:cs="仿宋"/>
          <w:sz w:val="24"/>
        </w:rPr>
        <w:t>（4）合同及附件</w:t>
      </w:r>
    </w:p>
    <w:p w14:paraId="557D847D">
      <w:pPr>
        <w:spacing w:line="360" w:lineRule="auto"/>
        <w:ind w:firstLine="480" w:firstLineChars="200"/>
        <w:rPr>
          <w:rFonts w:ascii="宋体" w:hAnsi="宋体" w:cs="仿宋"/>
          <w:sz w:val="24"/>
        </w:rPr>
      </w:pPr>
      <w:r>
        <w:rPr>
          <w:rFonts w:hint="eastAsia" w:ascii="宋体" w:hAnsi="宋体" w:cs="仿宋"/>
          <w:sz w:val="24"/>
        </w:rPr>
        <w:t>（5）</w:t>
      </w:r>
      <w:r>
        <w:rPr>
          <w:rFonts w:hint="eastAsia" w:cs="仿宋"/>
          <w:sz w:val="24"/>
          <w:lang w:val="en-US" w:eastAsia="zh-CN"/>
        </w:rPr>
        <w:t>响应</w:t>
      </w:r>
      <w:r>
        <w:rPr>
          <w:rFonts w:hint="eastAsia" w:ascii="宋体" w:hAnsi="宋体" w:cs="仿宋"/>
          <w:sz w:val="24"/>
        </w:rPr>
        <w:t>文件格式及内容</w:t>
      </w:r>
    </w:p>
    <w:p w14:paraId="4BC9EEFC">
      <w:pPr>
        <w:spacing w:line="360" w:lineRule="auto"/>
        <w:ind w:firstLine="480" w:firstLineChars="200"/>
        <w:rPr>
          <w:rFonts w:ascii="宋体" w:hAnsi="宋体" w:cs="仿宋"/>
          <w:sz w:val="24"/>
        </w:rPr>
      </w:pPr>
      <w:r>
        <w:rPr>
          <w:rFonts w:hint="eastAsia" w:ascii="宋体" w:hAnsi="宋体" w:cs="仿宋"/>
          <w:sz w:val="24"/>
        </w:rPr>
        <w:t>根据本章第1.10款、第2.2款和第2.3款对</w:t>
      </w:r>
      <w:r>
        <w:rPr>
          <w:rFonts w:hint="eastAsia" w:cs="仿宋"/>
          <w:sz w:val="24"/>
          <w:lang w:val="en-US" w:eastAsia="zh-CN"/>
        </w:rPr>
        <w:t>谈判</w:t>
      </w:r>
      <w:r>
        <w:rPr>
          <w:rFonts w:hint="eastAsia" w:ascii="宋体" w:hAnsi="宋体" w:cs="仿宋"/>
          <w:sz w:val="24"/>
        </w:rPr>
        <w:t>文件所作的澄清、修改，构成</w:t>
      </w:r>
      <w:r>
        <w:rPr>
          <w:rFonts w:hint="eastAsia" w:cs="仿宋"/>
          <w:sz w:val="24"/>
          <w:lang w:val="en-US" w:eastAsia="zh-CN"/>
        </w:rPr>
        <w:t>谈判</w:t>
      </w:r>
      <w:r>
        <w:rPr>
          <w:rFonts w:hint="eastAsia" w:ascii="宋体" w:hAnsi="宋体" w:cs="仿宋"/>
          <w:sz w:val="24"/>
        </w:rPr>
        <w:t>文件的组成部分。</w:t>
      </w:r>
    </w:p>
    <w:p w14:paraId="65072519">
      <w:pPr>
        <w:spacing w:line="360" w:lineRule="auto"/>
        <w:ind w:firstLine="480" w:firstLineChars="200"/>
        <w:rPr>
          <w:rFonts w:hint="eastAsia" w:ascii="宋体" w:hAnsi="宋体" w:cs="仿宋"/>
          <w:sz w:val="24"/>
        </w:rPr>
      </w:pPr>
      <w:r>
        <w:rPr>
          <w:rFonts w:hint="eastAsia" w:ascii="宋体" w:hAnsi="宋体" w:cs="仿宋"/>
          <w:sz w:val="24"/>
        </w:rPr>
        <w:t>2.1.2若</w:t>
      </w:r>
      <w:r>
        <w:rPr>
          <w:rFonts w:hint="eastAsia" w:cs="仿宋"/>
          <w:sz w:val="24"/>
          <w:lang w:val="en-US" w:eastAsia="zh-CN"/>
        </w:rPr>
        <w:t>谈判</w:t>
      </w:r>
      <w:r>
        <w:rPr>
          <w:rFonts w:hint="eastAsia" w:ascii="宋体" w:hAnsi="宋体" w:cs="仿宋"/>
          <w:sz w:val="24"/>
        </w:rPr>
        <w:t>文件中不同章节对同一内容叙述有差异的，性能、参数以技术要求为准；</w:t>
      </w:r>
      <w:r>
        <w:rPr>
          <w:rFonts w:hint="eastAsia" w:cs="仿宋"/>
          <w:sz w:val="24"/>
          <w:lang w:val="en-US" w:eastAsia="zh-CN"/>
        </w:rPr>
        <w:t>供应商</w:t>
      </w:r>
      <w:r>
        <w:rPr>
          <w:rFonts w:hint="eastAsia" w:ascii="宋体" w:hAnsi="宋体" w:cs="仿宋"/>
          <w:sz w:val="24"/>
        </w:rPr>
        <w:t>资格要求、交货期、交货地点以</w:t>
      </w:r>
      <w:r>
        <w:rPr>
          <w:rFonts w:hint="eastAsia" w:cs="宋体"/>
          <w:sz w:val="24"/>
          <w:lang w:val="en-US" w:eastAsia="zh-CN"/>
        </w:rPr>
        <w:t>谈判</w:t>
      </w:r>
      <w:r>
        <w:rPr>
          <w:rFonts w:hint="eastAsia" w:cs="宋体"/>
          <w:sz w:val="24"/>
        </w:rPr>
        <w:t>须知前附表</w:t>
      </w:r>
      <w:r>
        <w:rPr>
          <w:rFonts w:hint="eastAsia" w:ascii="宋体" w:hAnsi="宋体" w:cs="仿宋"/>
          <w:sz w:val="24"/>
        </w:rPr>
        <w:t>为准。</w:t>
      </w:r>
    </w:p>
    <w:p w14:paraId="527733A6">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仿宋"/>
          <w:sz w:val="24"/>
          <w:szCs w:val="24"/>
          <w:lang w:val="en-US" w:eastAsia="zh-CN" w:bidi="ar-SA"/>
        </w:rPr>
      </w:pPr>
      <w:r>
        <w:rPr>
          <w:rFonts w:hint="eastAsia" w:ascii="宋体" w:hAnsi="宋体" w:eastAsia="宋体" w:cs="仿宋"/>
          <w:sz w:val="24"/>
          <w:szCs w:val="24"/>
          <w:lang w:val="en-US" w:eastAsia="zh-CN" w:bidi="ar-SA"/>
        </w:rPr>
        <w:t>2.1.3本谈判文件在济钢集团有限公司阳光购销平台（网址：</w:t>
      </w:r>
      <w:r>
        <w:rPr>
          <w:rFonts w:hint="eastAsia" w:ascii="宋体" w:hAnsi="宋体" w:eastAsia="宋体" w:cs="仿宋"/>
          <w:sz w:val="24"/>
          <w:szCs w:val="24"/>
          <w:lang w:val="en-US" w:eastAsia="zh-CN" w:bidi="ar-SA"/>
        </w:rPr>
        <w:fldChar w:fldCharType="begin"/>
      </w:r>
      <w:r>
        <w:rPr>
          <w:rFonts w:hint="eastAsia" w:ascii="宋体" w:hAnsi="宋体" w:eastAsia="宋体" w:cs="仿宋"/>
          <w:sz w:val="24"/>
          <w:szCs w:val="24"/>
          <w:lang w:val="en-US" w:eastAsia="zh-CN" w:bidi="ar-SA"/>
        </w:rPr>
        <w:instrText xml:space="preserve"> HYPERLINK "http://bidding.jigang.com.cn" </w:instrText>
      </w:r>
      <w:r>
        <w:rPr>
          <w:rFonts w:hint="eastAsia" w:ascii="宋体" w:hAnsi="宋体" w:eastAsia="宋体" w:cs="仿宋"/>
          <w:sz w:val="24"/>
          <w:szCs w:val="24"/>
          <w:lang w:val="en-US" w:eastAsia="zh-CN" w:bidi="ar-SA"/>
        </w:rPr>
        <w:fldChar w:fldCharType="separate"/>
      </w:r>
      <w:r>
        <w:rPr>
          <w:rFonts w:hint="eastAsia" w:ascii="宋体" w:hAnsi="宋体" w:eastAsia="宋体" w:cs="仿宋"/>
          <w:sz w:val="24"/>
          <w:szCs w:val="24"/>
          <w:lang w:val="en-US" w:eastAsia="zh-CN" w:bidi="ar-SA"/>
        </w:rPr>
        <w:t>http://bidding.jigang.com.cn</w:t>
      </w:r>
      <w:r>
        <w:rPr>
          <w:rFonts w:hint="eastAsia" w:ascii="宋体" w:hAnsi="宋体" w:eastAsia="宋体" w:cs="仿宋"/>
          <w:sz w:val="24"/>
          <w:szCs w:val="24"/>
          <w:lang w:val="en-US" w:eastAsia="zh-CN" w:bidi="ar-SA"/>
        </w:rPr>
        <w:fldChar w:fldCharType="end"/>
      </w:r>
      <w:r>
        <w:rPr>
          <w:rFonts w:hint="eastAsia" w:ascii="宋体" w:hAnsi="宋体" w:eastAsia="宋体" w:cs="仿宋"/>
          <w:sz w:val="24"/>
          <w:szCs w:val="24"/>
          <w:lang w:val="en-US" w:eastAsia="zh-CN" w:bidi="ar-SA"/>
        </w:rPr>
        <w:t>/） 上发布。除上述媒介以外的媒介转载或发布与本次谈判相关信息的，采购人不承担任何责任并保留追究相关方责任的权利。</w:t>
      </w:r>
    </w:p>
    <w:p w14:paraId="16919E3A">
      <w:pPr>
        <w:pStyle w:val="35"/>
      </w:pPr>
      <w:bookmarkStart w:id="39" w:name="_Toc506105831"/>
      <w:bookmarkStart w:id="40" w:name="_Toc507936026"/>
      <w:r>
        <w:rPr>
          <w:rFonts w:hint="eastAsia"/>
        </w:rPr>
        <w:t xml:space="preserve">2.2 </w:t>
      </w:r>
      <w:r>
        <w:rPr>
          <w:rFonts w:hint="eastAsia"/>
          <w:lang w:val="en-US" w:eastAsia="zh-CN"/>
        </w:rPr>
        <w:t>谈判</w:t>
      </w:r>
      <w:r>
        <w:rPr>
          <w:rFonts w:hint="eastAsia"/>
        </w:rPr>
        <w:t>文件的澄清</w:t>
      </w:r>
      <w:bookmarkEnd w:id="39"/>
      <w:bookmarkEnd w:id="40"/>
    </w:p>
    <w:p w14:paraId="28473DE7">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仿宋"/>
          <w:sz w:val="24"/>
          <w:szCs w:val="24"/>
          <w:lang w:val="en-US" w:eastAsia="zh-CN" w:bidi="ar-SA"/>
        </w:rPr>
      </w:pPr>
      <w:bookmarkStart w:id="41" w:name="_Toc507936027"/>
      <w:bookmarkStart w:id="42" w:name="_Toc506105832"/>
      <w:r>
        <w:rPr>
          <w:rFonts w:hint="eastAsia" w:ascii="宋体" w:hAnsi="宋体" w:eastAsia="宋体" w:cs="仿宋"/>
          <w:sz w:val="24"/>
          <w:szCs w:val="24"/>
          <w:lang w:val="en-US" w:eastAsia="zh-CN" w:bidi="ar-SA"/>
        </w:rPr>
        <w:t>2.2.1 供应商应仔细阅读和检查竞争性谈判文件的全部内容。如发现缺页或附件不全，应及时向采购人或代理机构提出，以便补齐。如有疑问、异议，应在谈判截止时间2天前以书面形式要求采购人对竞争性谈判文件予以澄清。</w:t>
      </w:r>
    </w:p>
    <w:p w14:paraId="33BE628D">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仿宋"/>
          <w:sz w:val="24"/>
          <w:szCs w:val="24"/>
          <w:lang w:val="en-US" w:eastAsia="zh-CN" w:bidi="ar-SA"/>
        </w:rPr>
      </w:pPr>
      <w:r>
        <w:rPr>
          <w:rFonts w:hint="eastAsia" w:ascii="宋体" w:hAnsi="宋体" w:eastAsia="宋体" w:cs="仿宋"/>
          <w:sz w:val="24"/>
          <w:szCs w:val="24"/>
          <w:lang w:val="en-US" w:eastAsia="zh-CN" w:bidi="ar-SA"/>
        </w:rPr>
        <w:t>2.2.2 竞争性谈判文件的澄清将在供应商须知前附表规定的报价截止时间前以书面形式发给所有购买竞争性谈判文件的供应商，但不指明澄清问题的来源。如果澄清发出的时间距报价截止时间不足，相应延长报价截止时间。</w:t>
      </w:r>
    </w:p>
    <w:p w14:paraId="323F7A70">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仿宋"/>
          <w:sz w:val="24"/>
          <w:szCs w:val="24"/>
          <w:lang w:val="en-US" w:eastAsia="zh-CN" w:bidi="ar-SA"/>
        </w:rPr>
      </w:pPr>
      <w:r>
        <w:rPr>
          <w:rFonts w:hint="eastAsia" w:ascii="宋体" w:hAnsi="宋体" w:eastAsia="宋体" w:cs="仿宋"/>
          <w:sz w:val="24"/>
          <w:szCs w:val="24"/>
          <w:lang w:val="en-US" w:eastAsia="zh-CN" w:bidi="ar-SA"/>
        </w:rPr>
        <w:t>2.2.3 供应商在收到澄清后，应在供应商须知前附表规定的时间内以书面形式通知采购人/代理机构，确认已收到该澄清。</w:t>
      </w:r>
    </w:p>
    <w:p w14:paraId="604C7E29">
      <w:pPr>
        <w:pStyle w:val="35"/>
      </w:pPr>
      <w:r>
        <w:rPr>
          <w:rFonts w:hint="eastAsia"/>
        </w:rPr>
        <w:t xml:space="preserve">2.3 </w:t>
      </w:r>
      <w:bookmarkEnd w:id="41"/>
      <w:bookmarkEnd w:id="42"/>
      <w:r>
        <w:rPr>
          <w:rFonts w:hint="eastAsia" w:ascii="Arial" w:hAnsi="Arial" w:cs="Times New Roman"/>
          <w:b w:val="0"/>
          <w:bCs w:val="0"/>
          <w:lang w:val="en-US" w:eastAsia="zh-CN"/>
        </w:rPr>
        <w:t>竞争性谈判文件的修改</w:t>
      </w:r>
    </w:p>
    <w:p w14:paraId="2F2B057F">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仿宋"/>
          <w:sz w:val="24"/>
          <w:szCs w:val="24"/>
          <w:lang w:val="en-US" w:eastAsia="zh-CN" w:bidi="ar-SA"/>
        </w:rPr>
      </w:pPr>
      <w:r>
        <w:rPr>
          <w:rFonts w:hint="eastAsia" w:ascii="宋体" w:hAnsi="宋体" w:eastAsia="宋体" w:cs="仿宋"/>
          <w:sz w:val="24"/>
          <w:szCs w:val="24"/>
          <w:lang w:val="en-US" w:eastAsia="zh-CN" w:bidi="ar-SA"/>
        </w:rPr>
        <w:t>2.3.1 在报价截止时间前，采购人可以书面形式修改竞争性谈判文件，并通知所有已购买竞争性谈判文件的供应商。</w:t>
      </w:r>
    </w:p>
    <w:p w14:paraId="0BFB5B49">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仿宋"/>
          <w:sz w:val="24"/>
          <w:szCs w:val="24"/>
          <w:lang w:val="en-US" w:eastAsia="zh-CN" w:bidi="ar-SA"/>
        </w:rPr>
      </w:pPr>
      <w:r>
        <w:rPr>
          <w:rFonts w:hint="eastAsia" w:ascii="宋体" w:hAnsi="宋体" w:eastAsia="宋体" w:cs="仿宋"/>
          <w:sz w:val="24"/>
          <w:szCs w:val="24"/>
          <w:lang w:val="en-US" w:eastAsia="zh-CN" w:bidi="ar-SA"/>
        </w:rPr>
        <w:t>2.3.2 供应商收到修改内容后，应在供应商须知前附表规定的时间内以书面形式通知采购人/代理机构，确认已收到该修改。</w:t>
      </w:r>
    </w:p>
    <w:p w14:paraId="5B7EB6E0">
      <w:pPr>
        <w:pStyle w:val="41"/>
        <w:rPr>
          <w:rStyle w:val="28"/>
          <w:rFonts w:hint="eastAsia" w:ascii="Times New Roman" w:hAnsi="Times New Roman" w:eastAsia="宋体" w:cs="Times New Roman"/>
          <w:b w:val="0"/>
          <w:bCs w:val="0"/>
        </w:rPr>
      </w:pPr>
      <w:r>
        <w:rPr>
          <w:rStyle w:val="28"/>
          <w:rFonts w:hint="eastAsia" w:ascii="Times New Roman" w:hAnsi="Times New Roman" w:eastAsia="宋体" w:cs="Times New Roman"/>
          <w:b w:val="0"/>
          <w:bCs w:val="0"/>
        </w:rPr>
        <w:t>3、</w:t>
      </w:r>
      <w:r>
        <w:rPr>
          <w:rStyle w:val="28"/>
          <w:rFonts w:hint="eastAsia" w:ascii="Times New Roman" w:hAnsi="Times New Roman" w:eastAsia="宋体" w:cs="Times New Roman"/>
          <w:b w:val="0"/>
          <w:bCs w:val="0"/>
          <w:lang w:val="en-US" w:eastAsia="zh-CN"/>
        </w:rPr>
        <w:t>响应</w:t>
      </w:r>
      <w:r>
        <w:rPr>
          <w:rStyle w:val="28"/>
          <w:rFonts w:hint="eastAsia" w:ascii="Times New Roman" w:hAnsi="Times New Roman" w:eastAsia="宋体" w:cs="Times New Roman"/>
          <w:b w:val="0"/>
          <w:bCs w:val="0"/>
        </w:rPr>
        <w:t>文件</w:t>
      </w:r>
    </w:p>
    <w:p w14:paraId="47A6D84D">
      <w:pPr>
        <w:pStyle w:val="35"/>
      </w:pPr>
      <w:bookmarkStart w:id="43" w:name="_Toc506105835"/>
      <w:bookmarkStart w:id="44" w:name="_Toc507936029"/>
      <w:r>
        <w:rPr>
          <w:rFonts w:hint="eastAsia"/>
        </w:rPr>
        <w:t xml:space="preserve">3.1 </w:t>
      </w:r>
      <w:r>
        <w:rPr>
          <w:rFonts w:hint="eastAsia"/>
          <w:lang w:val="en-US" w:eastAsia="zh-CN"/>
        </w:rPr>
        <w:t>响应</w:t>
      </w:r>
      <w:r>
        <w:rPr>
          <w:rFonts w:hint="eastAsia"/>
        </w:rPr>
        <w:t>文件的组成</w:t>
      </w:r>
      <w:bookmarkEnd w:id="43"/>
      <w:bookmarkEnd w:id="44"/>
    </w:p>
    <w:p w14:paraId="7295D766">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仿宋"/>
          <w:sz w:val="24"/>
          <w:szCs w:val="24"/>
          <w:lang w:val="en-US" w:eastAsia="zh-CN" w:bidi="ar-SA"/>
        </w:rPr>
      </w:pPr>
      <w:r>
        <w:rPr>
          <w:rFonts w:hint="eastAsia" w:ascii="宋体" w:hAnsi="宋体" w:cs="仿宋"/>
          <w:sz w:val="24"/>
        </w:rPr>
        <w:t>3.</w:t>
      </w:r>
      <w:r>
        <w:rPr>
          <w:rFonts w:hint="eastAsia" w:ascii="宋体" w:hAnsi="宋体" w:cs="仿宋"/>
          <w:sz w:val="24"/>
          <w:lang w:val="en-US" w:eastAsia="zh-CN"/>
        </w:rPr>
        <w:t>1</w:t>
      </w:r>
      <w:r>
        <w:rPr>
          <w:rFonts w:hint="eastAsia" w:ascii="宋体" w:hAnsi="宋体" w:cs="仿宋"/>
          <w:sz w:val="24"/>
        </w:rPr>
        <w:t xml:space="preserve">.1 </w:t>
      </w:r>
      <w:r>
        <w:rPr>
          <w:rFonts w:hint="eastAsia" w:ascii="宋体" w:hAnsi="宋体" w:eastAsia="宋体" w:cs="仿宋"/>
          <w:sz w:val="24"/>
          <w:szCs w:val="24"/>
          <w:lang w:val="en-US" w:eastAsia="zh-CN" w:bidi="ar-SA"/>
        </w:rPr>
        <w:t>供应商在谈判过程中作出的符合法律法规和谈判文件规定的澄清确认，构成响应文件的组成部分。</w:t>
      </w:r>
    </w:p>
    <w:p w14:paraId="38C2CCC7">
      <w:pPr>
        <w:pStyle w:val="35"/>
      </w:pPr>
      <w:bookmarkStart w:id="45" w:name="_Toc406766394"/>
      <w:bookmarkStart w:id="46" w:name="_Toc506105836"/>
      <w:bookmarkStart w:id="47" w:name="_Toc507936030"/>
      <w:r>
        <w:rPr>
          <w:rFonts w:hint="eastAsia"/>
        </w:rPr>
        <w:t>3.2 报价</w:t>
      </w:r>
      <w:bookmarkEnd w:id="45"/>
      <w:bookmarkEnd w:id="46"/>
      <w:bookmarkEnd w:id="47"/>
    </w:p>
    <w:p w14:paraId="4EA1A960">
      <w:pPr>
        <w:spacing w:line="360" w:lineRule="auto"/>
        <w:ind w:firstLine="480" w:firstLineChars="200"/>
        <w:rPr>
          <w:rFonts w:hint="eastAsia" w:ascii="宋体" w:hAnsi="宋体" w:eastAsia="宋体" w:cs="仿宋"/>
          <w:sz w:val="24"/>
          <w:lang w:val="en-US" w:eastAsia="zh-CN"/>
        </w:rPr>
      </w:pPr>
      <w:r>
        <w:rPr>
          <w:rFonts w:hint="eastAsia" w:ascii="宋体" w:hAnsi="宋体" w:cs="仿宋"/>
          <w:sz w:val="24"/>
        </w:rPr>
        <w:t xml:space="preserve">3.2.1 </w:t>
      </w:r>
      <w:r>
        <w:rPr>
          <w:rFonts w:hint="eastAsia" w:ascii="宋体" w:hAnsi="宋体" w:cs="宋体"/>
          <w:color w:val="auto"/>
          <w:sz w:val="24"/>
        </w:rPr>
        <w:t>报价币种</w:t>
      </w:r>
      <w:r>
        <w:rPr>
          <w:rFonts w:hint="eastAsia" w:cs="宋体"/>
          <w:color w:val="auto"/>
          <w:sz w:val="24"/>
          <w:lang w:eastAsia="zh-CN"/>
        </w:rPr>
        <w:t>：</w:t>
      </w:r>
      <w:r>
        <w:rPr>
          <w:rFonts w:hint="eastAsia" w:ascii="宋体" w:hAnsi="宋体" w:cs="宋体"/>
          <w:color w:val="auto"/>
          <w:sz w:val="24"/>
        </w:rPr>
        <w:t>人民币</w:t>
      </w:r>
      <w:r>
        <w:rPr>
          <w:rFonts w:hint="eastAsia" w:cs="宋体"/>
          <w:color w:val="auto"/>
          <w:sz w:val="24"/>
          <w:lang w:eastAsia="zh-CN"/>
        </w:rPr>
        <w:t>；</w:t>
      </w:r>
      <w:r>
        <w:rPr>
          <w:rFonts w:hint="eastAsia" w:cs="宋体"/>
          <w:sz w:val="24"/>
          <w:highlight w:val="none"/>
          <w:lang w:val="en-US" w:eastAsia="zh-CN"/>
        </w:rPr>
        <w:t>报价</w:t>
      </w:r>
      <w:r>
        <w:rPr>
          <w:rFonts w:hint="eastAsia" w:ascii="宋体" w:hAnsi="宋体" w:cs="宋体"/>
          <w:sz w:val="24"/>
          <w:highlight w:val="none"/>
        </w:rPr>
        <w:t>为</w:t>
      </w:r>
      <w:r>
        <w:rPr>
          <w:rFonts w:hint="eastAsia" w:cs="宋体"/>
          <w:sz w:val="24"/>
          <w:highlight w:val="none"/>
          <w:lang w:val="en-US" w:eastAsia="zh-CN"/>
        </w:rPr>
        <w:t>含</w:t>
      </w:r>
      <w:r>
        <w:rPr>
          <w:rFonts w:hint="eastAsia" w:ascii="宋体" w:hAnsi="宋体" w:cs="宋体"/>
          <w:sz w:val="24"/>
          <w:highlight w:val="none"/>
        </w:rPr>
        <w:t>增值税专用发票价格</w:t>
      </w:r>
      <w:r>
        <w:rPr>
          <w:rFonts w:hint="eastAsia" w:cs="宋体"/>
          <w:sz w:val="24"/>
          <w:lang w:eastAsia="zh-CN"/>
        </w:rPr>
        <w:t>。</w:t>
      </w:r>
    </w:p>
    <w:p w14:paraId="7B8F3102">
      <w:pPr>
        <w:spacing w:line="360" w:lineRule="auto"/>
        <w:ind w:firstLine="480" w:firstLineChars="200"/>
        <w:rPr>
          <w:rFonts w:ascii="宋体" w:hAnsi="宋体" w:cs="仿宋"/>
          <w:sz w:val="24"/>
        </w:rPr>
      </w:pPr>
      <w:r>
        <w:rPr>
          <w:rFonts w:hint="eastAsia" w:ascii="宋体" w:hAnsi="宋体" w:cs="仿宋"/>
          <w:sz w:val="24"/>
        </w:rPr>
        <w:t xml:space="preserve">3.2.2 </w:t>
      </w:r>
      <w:r>
        <w:rPr>
          <w:rFonts w:hint="eastAsia" w:cs="仿宋"/>
          <w:sz w:val="24"/>
          <w:lang w:val="en-US" w:eastAsia="zh-CN"/>
        </w:rPr>
        <w:t>供应商</w:t>
      </w:r>
      <w:r>
        <w:rPr>
          <w:rFonts w:hint="eastAsia" w:ascii="宋体" w:hAnsi="宋体" w:cs="仿宋"/>
          <w:sz w:val="24"/>
        </w:rPr>
        <w:t>在</w:t>
      </w:r>
      <w:r>
        <w:rPr>
          <w:rFonts w:hint="eastAsia" w:cs="仿宋"/>
          <w:sz w:val="24"/>
          <w:lang w:val="en-US" w:eastAsia="zh-CN"/>
        </w:rPr>
        <w:t>谈判开始</w:t>
      </w:r>
      <w:r>
        <w:rPr>
          <w:rFonts w:hint="eastAsia" w:ascii="宋体" w:hAnsi="宋体" w:cs="仿宋"/>
          <w:sz w:val="24"/>
        </w:rPr>
        <w:t>时间前修改</w:t>
      </w:r>
      <w:r>
        <w:rPr>
          <w:rFonts w:hint="eastAsia" w:cs="仿宋"/>
          <w:sz w:val="24"/>
          <w:lang w:val="en-US" w:eastAsia="zh-CN"/>
        </w:rPr>
        <w:t>报价</w:t>
      </w:r>
      <w:r>
        <w:rPr>
          <w:rFonts w:hint="eastAsia" w:ascii="宋体" w:hAnsi="宋体" w:cs="仿宋"/>
          <w:sz w:val="24"/>
        </w:rPr>
        <w:t>函中的总报价，应同时修改“报价组成表”中的相应价格。此修改须符合本章第4.3款的有关规定。　</w:t>
      </w:r>
    </w:p>
    <w:p w14:paraId="11506C48">
      <w:pPr>
        <w:pStyle w:val="35"/>
      </w:pPr>
      <w:bookmarkStart w:id="48" w:name="_Toc406766395"/>
      <w:bookmarkStart w:id="49" w:name="_Toc507936031"/>
      <w:bookmarkStart w:id="50" w:name="_Toc506105837"/>
      <w:r>
        <w:rPr>
          <w:rFonts w:hint="eastAsia"/>
        </w:rPr>
        <w:t xml:space="preserve">3.3 </w:t>
      </w:r>
      <w:r>
        <w:rPr>
          <w:rFonts w:hint="eastAsia"/>
          <w:lang w:val="en-US" w:eastAsia="zh-CN"/>
        </w:rPr>
        <w:t>谈判</w:t>
      </w:r>
      <w:r>
        <w:rPr>
          <w:rFonts w:hint="eastAsia"/>
        </w:rPr>
        <w:t>有效期</w:t>
      </w:r>
      <w:bookmarkEnd w:id="48"/>
      <w:bookmarkEnd w:id="49"/>
      <w:bookmarkEnd w:id="50"/>
    </w:p>
    <w:p w14:paraId="329A1DBE">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3.3.1谈判有效期：在供应商须知前附表规定的报价有效期内，供应商不得要求撤销或修改其响应文件。</w:t>
      </w:r>
    </w:p>
    <w:p w14:paraId="441A83A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3.3.2 出现特殊情况需要延长谈判有效期的，采购人以书面形式通知所有供应商延长谈判有效期。供应商同意延长的，应相应延长其谈判保证金的有效期，但不得要求或被允许修改或撤销其响应文件；供应商拒绝延长的，其响应文件失效，但供应商有权收回其谈判保证金。</w:t>
      </w:r>
    </w:p>
    <w:p w14:paraId="72ABCA94">
      <w:pPr>
        <w:pStyle w:val="35"/>
        <w:rPr>
          <w:rFonts w:hint="eastAsia"/>
        </w:rPr>
      </w:pPr>
      <w:bookmarkStart w:id="51" w:name="_Toc506105838"/>
      <w:bookmarkStart w:id="52" w:name="_Toc406766396"/>
      <w:bookmarkStart w:id="53" w:name="_Toc507936032"/>
      <w:r>
        <w:rPr>
          <w:rFonts w:hint="eastAsia"/>
        </w:rPr>
        <w:t xml:space="preserve">3.4 </w:t>
      </w:r>
      <w:r>
        <w:rPr>
          <w:rFonts w:hint="eastAsia"/>
          <w:lang w:val="en-US" w:eastAsia="zh-CN"/>
        </w:rPr>
        <w:t>谈判</w:t>
      </w:r>
      <w:r>
        <w:rPr>
          <w:rFonts w:hint="eastAsia"/>
        </w:rPr>
        <w:t>保证金</w:t>
      </w:r>
      <w:bookmarkEnd w:id="51"/>
      <w:bookmarkEnd w:id="52"/>
      <w:bookmarkEnd w:id="53"/>
    </w:p>
    <w:p w14:paraId="32EAC984">
      <w:pPr>
        <w:spacing w:line="360" w:lineRule="auto"/>
        <w:ind w:firstLine="480" w:firstLineChars="200"/>
        <w:rPr>
          <w:rFonts w:hint="eastAsia" w:ascii="宋体" w:hAnsi="宋体" w:eastAsia="宋体" w:cs="仿宋"/>
          <w:sz w:val="24"/>
          <w:lang w:val="en-US" w:eastAsia="zh-CN"/>
        </w:rPr>
      </w:pPr>
      <w:bookmarkStart w:id="54" w:name="_Toc507936033"/>
      <w:bookmarkStart w:id="55" w:name="_Toc506105839"/>
      <w:r>
        <w:rPr>
          <w:rFonts w:hint="eastAsia" w:ascii="宋体" w:hAnsi="宋体" w:eastAsia="宋体" w:cs="仿宋"/>
          <w:sz w:val="24"/>
          <w:lang w:val="en-US" w:eastAsia="zh-CN"/>
        </w:rPr>
        <w:t>无</w:t>
      </w:r>
    </w:p>
    <w:p w14:paraId="15C6BCC9">
      <w:pPr>
        <w:pStyle w:val="35"/>
        <w:rPr>
          <w:rFonts w:hint="eastAsia" w:ascii="Arial" w:hAnsi="Arial" w:cs="Times New Roman"/>
          <w:b w:val="0"/>
          <w:bCs w:val="0"/>
          <w:lang w:val="en-US" w:eastAsia="zh-CN"/>
        </w:rPr>
      </w:pPr>
      <w:r>
        <w:rPr>
          <w:rFonts w:hint="eastAsia" w:ascii="Arial" w:hAnsi="Arial" w:cs="Times New Roman"/>
          <w:b w:val="0"/>
          <w:bCs w:val="0"/>
          <w:lang w:val="en-US" w:eastAsia="zh-CN"/>
        </w:rPr>
        <w:t>3.5 资格审查资料</w:t>
      </w:r>
      <w:bookmarkEnd w:id="54"/>
      <w:bookmarkEnd w:id="55"/>
    </w:p>
    <w:p w14:paraId="465FD0F9">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除谈判须知前附表另有规定外，供应商应按下列规定提供资格审查资料，以证明其满足本章第1.4款规定的资质、财务、业绩、信誉等要求。</w:t>
      </w:r>
    </w:p>
    <w:p w14:paraId="4A892DDA">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3.5.1 “供应商基本情况表”应附营业执照、资质证书副本等材料的原件扫描件。</w:t>
      </w:r>
    </w:p>
    <w:p w14:paraId="4718D0C5">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3.5.2 “近年财务状况表”应附经会计师事务所或审计机构审计的财务会计报表扫描件，具体年份要求见谈判须知前附表。</w:t>
      </w:r>
    </w:p>
    <w:p w14:paraId="77FFD85B">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3.5.3“近年完成的业绩情况表”应附合同的原件扫描件，具体时间要求见谈判须知前附表。</w:t>
      </w:r>
    </w:p>
    <w:p w14:paraId="1DF38C6B">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3.5.4“近年发生的诉讼及仲裁情况”应附败诉的买卖合同的相关情况，并附法院或仲裁机构作出的判决、裁决等有关法律文书，具体时间要求见谈判须知前附表。</w:t>
      </w:r>
    </w:p>
    <w:p w14:paraId="424FC5FF">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3.5.5供应商认为有必要提供的其他证明文件。</w:t>
      </w:r>
    </w:p>
    <w:p w14:paraId="121BCD2D">
      <w:pPr>
        <w:pStyle w:val="35"/>
        <w:rPr>
          <w:rFonts w:hint="eastAsia" w:ascii="Arial" w:hAnsi="Arial" w:cs="Times New Roman"/>
          <w:b w:val="0"/>
          <w:bCs w:val="0"/>
        </w:rPr>
      </w:pPr>
      <w:bookmarkStart w:id="56" w:name="_Toc506105840"/>
      <w:bookmarkStart w:id="57" w:name="_Toc507936034"/>
      <w:r>
        <w:rPr>
          <w:rFonts w:hint="eastAsia" w:ascii="Arial" w:hAnsi="Arial" w:cs="Times New Roman"/>
          <w:b w:val="0"/>
          <w:bCs w:val="0"/>
        </w:rPr>
        <w:t>3.6 备选方案</w:t>
      </w:r>
      <w:bookmarkEnd w:id="56"/>
      <w:bookmarkEnd w:id="57"/>
    </w:p>
    <w:p w14:paraId="75C53202">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3.6.1本次谈判不接受备选方案。</w:t>
      </w:r>
    </w:p>
    <w:p w14:paraId="5D3F04CB">
      <w:pPr>
        <w:pStyle w:val="35"/>
      </w:pPr>
      <w:bookmarkStart w:id="58" w:name="_Toc507936035"/>
      <w:bookmarkStart w:id="59" w:name="_Toc506105841"/>
      <w:r>
        <w:rPr>
          <w:rFonts w:hint="eastAsia"/>
        </w:rPr>
        <w:t xml:space="preserve">3.7 </w:t>
      </w:r>
      <w:r>
        <w:rPr>
          <w:rFonts w:hint="eastAsia"/>
          <w:lang w:val="en-US" w:eastAsia="zh-CN"/>
        </w:rPr>
        <w:t>响应</w:t>
      </w:r>
      <w:r>
        <w:rPr>
          <w:rFonts w:hint="eastAsia"/>
        </w:rPr>
        <w:t>文件的编制</w:t>
      </w:r>
      <w:bookmarkEnd w:id="58"/>
      <w:bookmarkEnd w:id="59"/>
    </w:p>
    <w:p w14:paraId="4609A471">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3.7.1响应文件应按《第五章响应文件格式及内容》要求进行编写。</w:t>
      </w:r>
    </w:p>
    <w:p w14:paraId="4F57925F">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3.7.2响应文件应当对谈判文件有关交货期、谈判有效期、质量要求、技术标准和要求、采购范围等实质性内容作出响应。</w:t>
      </w:r>
    </w:p>
    <w:p w14:paraId="2AE0367E">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3.7.3响应文件应用不褪色的材料书写或打印，并由法定代表人或其委托代理人签字或盖公章。签字或盖章的具体要求见谈判须知前附表。</w:t>
      </w:r>
    </w:p>
    <w:p w14:paraId="54B7B1C1">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3.7.4响应文件正本和副本的封面上应清楚地标记“正本”或“副本”的字样。当副本和正本不一致时，以正本为准。</w:t>
      </w:r>
    </w:p>
    <w:p w14:paraId="01620B2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3.7.5响应文件的正本与副本应分别装订成册，并编制目录，详见谈判须知前附表。</w:t>
      </w:r>
    </w:p>
    <w:p w14:paraId="36265DB5">
      <w:pPr>
        <w:pStyle w:val="41"/>
        <w:rPr>
          <w:rStyle w:val="28"/>
          <w:rFonts w:hint="eastAsia" w:ascii="Times New Roman" w:hAnsi="Times New Roman" w:eastAsia="宋体" w:cs="Times New Roman"/>
          <w:b w:val="0"/>
          <w:bCs w:val="0"/>
          <w:lang w:eastAsia="zh-CN"/>
        </w:rPr>
      </w:pPr>
      <w:r>
        <w:rPr>
          <w:rStyle w:val="28"/>
          <w:rFonts w:hint="eastAsia" w:ascii="Times New Roman" w:hAnsi="Times New Roman" w:eastAsia="宋体" w:cs="Times New Roman"/>
          <w:b w:val="0"/>
          <w:bCs w:val="0"/>
        </w:rPr>
        <w:t>4.</w:t>
      </w:r>
      <w:r>
        <w:rPr>
          <w:rStyle w:val="28"/>
          <w:rFonts w:hint="eastAsia" w:ascii="Times New Roman" w:hAnsi="Times New Roman" w:eastAsia="宋体" w:cs="Times New Roman"/>
          <w:b w:val="0"/>
          <w:bCs w:val="0"/>
          <w:lang w:val="en-US" w:eastAsia="zh-CN"/>
        </w:rPr>
        <w:t>响应</w:t>
      </w:r>
    </w:p>
    <w:p w14:paraId="2752BE73">
      <w:pPr>
        <w:pStyle w:val="35"/>
      </w:pPr>
      <w:bookmarkStart w:id="60" w:name="_Toc507936037"/>
      <w:bookmarkStart w:id="61" w:name="_Toc506105844"/>
      <w:bookmarkStart w:id="62" w:name="_Toc506105846"/>
      <w:bookmarkStart w:id="63" w:name="_Toc507936039"/>
      <w:r>
        <w:rPr>
          <w:rFonts w:hint="eastAsia"/>
        </w:rPr>
        <w:t>4.</w:t>
      </w:r>
      <w:r>
        <w:rPr>
          <w:rFonts w:hint="eastAsia"/>
          <w:lang w:val="en-US" w:eastAsia="zh-CN"/>
        </w:rPr>
        <w:t>1</w:t>
      </w:r>
      <w:r>
        <w:rPr>
          <w:rFonts w:hint="eastAsia"/>
        </w:rPr>
        <w:t xml:space="preserve"> </w:t>
      </w:r>
      <w:r>
        <w:rPr>
          <w:rFonts w:hint="eastAsia"/>
          <w:lang w:val="en-US" w:eastAsia="zh-CN"/>
        </w:rPr>
        <w:t>响应</w:t>
      </w:r>
      <w:r>
        <w:rPr>
          <w:rFonts w:hint="eastAsia"/>
        </w:rPr>
        <w:t>文件的递交</w:t>
      </w:r>
      <w:bookmarkEnd w:id="60"/>
      <w:bookmarkEnd w:id="61"/>
    </w:p>
    <w:p w14:paraId="4E39AC01">
      <w:pPr>
        <w:spacing w:line="360" w:lineRule="auto"/>
        <w:ind w:firstLine="480" w:firstLineChars="200"/>
        <w:rPr>
          <w:rFonts w:ascii="宋体" w:hAnsi="宋体" w:cs="仿宋"/>
          <w:sz w:val="24"/>
        </w:rPr>
      </w:pP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2895DF13">
      <w:pPr>
        <w:pStyle w:val="35"/>
      </w:pPr>
      <w:bookmarkStart w:id="64" w:name="_Toc506105845"/>
      <w:bookmarkStart w:id="65" w:name="_Toc507936038"/>
      <w:r>
        <w:rPr>
          <w:rFonts w:hint="eastAsia"/>
        </w:rPr>
        <w:t>4.</w:t>
      </w:r>
      <w:r>
        <w:rPr>
          <w:rFonts w:hint="eastAsia"/>
          <w:lang w:val="en-US" w:eastAsia="zh-CN"/>
        </w:rPr>
        <w:t>2</w:t>
      </w:r>
      <w:r>
        <w:rPr>
          <w:rFonts w:hint="eastAsia"/>
        </w:rPr>
        <w:t xml:space="preserve"> </w:t>
      </w:r>
      <w:r>
        <w:rPr>
          <w:rFonts w:hint="eastAsia"/>
          <w:lang w:val="en-US" w:eastAsia="zh-CN"/>
        </w:rPr>
        <w:t>响应</w:t>
      </w:r>
      <w:r>
        <w:rPr>
          <w:rFonts w:hint="eastAsia"/>
        </w:rPr>
        <w:t>文件的修改与撤回</w:t>
      </w:r>
      <w:bookmarkEnd w:id="64"/>
      <w:bookmarkEnd w:id="65"/>
    </w:p>
    <w:p w14:paraId="1F5AEBA8">
      <w:pPr>
        <w:spacing w:line="360" w:lineRule="auto"/>
        <w:ind w:firstLine="480" w:firstLineChars="200"/>
        <w:rPr>
          <w:rFonts w:ascii="宋体" w:hAnsi="宋体" w:cs="仿宋"/>
          <w:sz w:val="24"/>
        </w:rPr>
      </w:pPr>
      <w:r>
        <w:rPr>
          <w:rFonts w:hint="eastAsia" w:ascii="宋体" w:hAnsi="宋体" w:cs="仿宋"/>
          <w:sz w:val="24"/>
        </w:rPr>
        <w:t>在</w:t>
      </w:r>
      <w:r>
        <w:rPr>
          <w:rFonts w:hint="eastAsia" w:cs="仿宋"/>
          <w:sz w:val="24"/>
          <w:lang w:val="en-US" w:eastAsia="zh-CN"/>
        </w:rPr>
        <w:t>上传响应文件截止时间</w:t>
      </w:r>
      <w:r>
        <w:rPr>
          <w:rFonts w:hint="eastAsia" w:ascii="宋体" w:hAnsi="宋体" w:cs="仿宋"/>
          <w:sz w:val="24"/>
        </w:rPr>
        <w:t>前，</w:t>
      </w:r>
      <w:r>
        <w:rPr>
          <w:rFonts w:hint="eastAsia" w:cs="仿宋"/>
          <w:sz w:val="24"/>
          <w:lang w:val="en-US" w:eastAsia="zh-CN"/>
        </w:rPr>
        <w:t>供应商</w:t>
      </w:r>
      <w:r>
        <w:rPr>
          <w:rFonts w:hint="eastAsia" w:ascii="宋体" w:hAnsi="宋体" w:cs="仿宋"/>
          <w:sz w:val="24"/>
        </w:rPr>
        <w:t>可以修改或撤回已递交的</w:t>
      </w:r>
      <w:r>
        <w:rPr>
          <w:rFonts w:hint="eastAsia" w:cs="仿宋"/>
          <w:sz w:val="24"/>
          <w:lang w:val="en-US" w:eastAsia="zh-CN"/>
        </w:rPr>
        <w:t>响应</w:t>
      </w:r>
      <w:r>
        <w:rPr>
          <w:rFonts w:hint="eastAsia" w:ascii="宋体" w:hAnsi="宋体" w:cs="仿宋"/>
          <w:sz w:val="24"/>
        </w:rPr>
        <w:t>文件。</w:t>
      </w:r>
    </w:p>
    <w:p w14:paraId="5AB24BAF">
      <w:pPr>
        <w:pStyle w:val="41"/>
        <w:rPr>
          <w:rStyle w:val="28"/>
          <w:rFonts w:hint="eastAsia" w:ascii="Times New Roman" w:hAnsi="Times New Roman" w:eastAsia="宋体" w:cs="Times New Roman"/>
          <w:b w:val="0"/>
          <w:bCs w:val="0"/>
          <w:lang w:eastAsia="zh-CN"/>
        </w:rPr>
      </w:pPr>
      <w:r>
        <w:rPr>
          <w:rStyle w:val="28"/>
          <w:rFonts w:hint="eastAsia" w:ascii="Times New Roman" w:hAnsi="Times New Roman" w:eastAsia="宋体" w:cs="Times New Roman"/>
          <w:b w:val="0"/>
          <w:bCs w:val="0"/>
        </w:rPr>
        <w:t>5.</w:t>
      </w:r>
      <w:bookmarkEnd w:id="62"/>
      <w:bookmarkEnd w:id="63"/>
      <w:r>
        <w:rPr>
          <w:rStyle w:val="28"/>
          <w:rFonts w:hint="eastAsia" w:ascii="Times New Roman" w:hAnsi="Times New Roman" w:eastAsia="宋体" w:cs="Times New Roman"/>
          <w:b w:val="0"/>
          <w:bCs w:val="0"/>
          <w:lang w:val="en-US" w:eastAsia="zh-CN"/>
        </w:rPr>
        <w:t>谈判</w:t>
      </w:r>
    </w:p>
    <w:p w14:paraId="3621F2F3">
      <w:pPr>
        <w:pStyle w:val="35"/>
        <w:rPr>
          <w:rFonts w:hint="eastAsia" w:eastAsia="宋体"/>
          <w:lang w:eastAsia="zh-CN"/>
        </w:rPr>
      </w:pPr>
      <w:bookmarkStart w:id="66" w:name="_Toc506105847"/>
      <w:bookmarkStart w:id="67" w:name="_Toc507936040"/>
      <w:r>
        <w:rPr>
          <w:rFonts w:hint="eastAsia"/>
        </w:rPr>
        <w:t xml:space="preserve">5.1 </w:t>
      </w:r>
      <w:bookmarkEnd w:id="66"/>
      <w:bookmarkEnd w:id="67"/>
      <w:bookmarkStart w:id="68" w:name="_Toc506105848"/>
      <w:r>
        <w:rPr>
          <w:rFonts w:hint="eastAsia"/>
          <w:lang w:val="en-US" w:eastAsia="zh-CN"/>
        </w:rPr>
        <w:t>谈判</w:t>
      </w:r>
    </w:p>
    <w:p w14:paraId="1A2F5F27">
      <w:pPr>
        <w:spacing w:line="360" w:lineRule="auto"/>
        <w:ind w:firstLine="480" w:firstLineChars="200"/>
        <w:rPr>
          <w:rFonts w:hint="eastAsia" w:ascii="宋体" w:hAnsi="宋体" w:eastAsia="宋体" w:cs="仿宋"/>
          <w:sz w:val="24"/>
        </w:rPr>
      </w:pPr>
      <w:r>
        <w:rPr>
          <w:rFonts w:hint="eastAsia" w:ascii="宋体" w:hAnsi="宋体" w:eastAsia="宋体" w:cs="仿宋"/>
          <w:sz w:val="24"/>
          <w:lang w:val="en-US" w:eastAsia="zh-CN"/>
        </w:rPr>
        <w:t>谈判</w:t>
      </w:r>
      <w:r>
        <w:rPr>
          <w:rFonts w:hint="eastAsia" w:ascii="宋体" w:hAnsi="宋体" w:eastAsia="宋体" w:cs="仿宋"/>
          <w:sz w:val="24"/>
        </w:rPr>
        <w:t>时间和</w:t>
      </w:r>
      <w:r>
        <w:rPr>
          <w:rFonts w:hint="eastAsia" w:ascii="宋体" w:hAnsi="宋体" w:eastAsia="宋体" w:cs="仿宋"/>
          <w:sz w:val="24"/>
          <w:lang w:val="en-US" w:eastAsia="zh-CN"/>
        </w:rPr>
        <w:t>方式</w:t>
      </w:r>
      <w:r>
        <w:rPr>
          <w:rFonts w:hint="eastAsia" w:ascii="宋体" w:hAnsi="宋体" w:eastAsia="宋体" w:cs="仿宋"/>
          <w:sz w:val="24"/>
        </w:rPr>
        <w:t>：详见</w:t>
      </w:r>
      <w:r>
        <w:rPr>
          <w:rFonts w:hint="eastAsia" w:ascii="宋体" w:hAnsi="宋体" w:eastAsia="宋体" w:cs="仿宋"/>
          <w:sz w:val="24"/>
          <w:lang w:val="en-US" w:eastAsia="zh-CN"/>
        </w:rPr>
        <w:t>谈判</w:t>
      </w:r>
      <w:r>
        <w:rPr>
          <w:rFonts w:hint="eastAsia" w:ascii="宋体" w:hAnsi="宋体" w:eastAsia="宋体" w:cs="仿宋"/>
          <w:sz w:val="24"/>
        </w:rPr>
        <w:t>须知前附表。</w:t>
      </w:r>
    </w:p>
    <w:bookmarkEnd w:id="68"/>
    <w:p w14:paraId="4CDDB3BD">
      <w:pPr>
        <w:pStyle w:val="41"/>
        <w:rPr>
          <w:rStyle w:val="28"/>
          <w:rFonts w:hint="eastAsia" w:ascii="Times New Roman" w:hAnsi="Times New Roman" w:eastAsia="宋体" w:cs="Times New Roman"/>
          <w:b w:val="0"/>
          <w:bCs w:val="0"/>
          <w:lang w:val="en-US" w:eastAsia="zh-CN"/>
        </w:rPr>
      </w:pPr>
      <w:bookmarkStart w:id="69" w:name="_Toc506105849"/>
      <w:bookmarkStart w:id="70" w:name="_Toc507936041"/>
      <w:r>
        <w:rPr>
          <w:rStyle w:val="28"/>
          <w:rFonts w:hint="eastAsia" w:ascii="Times New Roman" w:hAnsi="Times New Roman" w:eastAsia="宋体" w:cs="Times New Roman"/>
          <w:b w:val="0"/>
          <w:bCs w:val="0"/>
        </w:rPr>
        <w:t>6.</w:t>
      </w:r>
      <w:bookmarkEnd w:id="69"/>
      <w:bookmarkEnd w:id="70"/>
      <w:r>
        <w:rPr>
          <w:rStyle w:val="28"/>
          <w:rFonts w:hint="eastAsia" w:ascii="Times New Roman" w:hAnsi="Times New Roman" w:eastAsia="宋体" w:cs="Times New Roman"/>
          <w:b w:val="0"/>
          <w:bCs w:val="0"/>
          <w:lang w:val="en-US" w:eastAsia="zh-CN"/>
        </w:rPr>
        <w:t>响应文件的评审</w:t>
      </w:r>
    </w:p>
    <w:p w14:paraId="4BB85559">
      <w:pPr>
        <w:pStyle w:val="35"/>
        <w:rPr>
          <w:rFonts w:hint="eastAsia" w:ascii="Arial" w:hAnsi="Arial" w:cs="Times New Roman"/>
          <w:b w:val="0"/>
          <w:bCs w:val="0"/>
          <w:lang w:val="en-US" w:eastAsia="zh-CN"/>
        </w:rPr>
      </w:pPr>
      <w:bookmarkStart w:id="71" w:name="_Toc507936046"/>
      <w:bookmarkStart w:id="72" w:name="_Toc506105854"/>
      <w:r>
        <w:rPr>
          <w:rFonts w:hint="eastAsia" w:ascii="Arial" w:hAnsi="Arial" w:cs="Times New Roman"/>
          <w:b w:val="0"/>
          <w:bCs w:val="0"/>
          <w:lang w:val="en-US" w:eastAsia="zh-CN"/>
        </w:rPr>
        <w:t>6.1 评审程序</w:t>
      </w:r>
    </w:p>
    <w:p w14:paraId="6CE59067">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6.1.1谈判小组依据谈判文件的规定，对响应文件的有效性、完整性和对谈判文件的响应程度进行审查，以确定是否对谈判文件的要求做出实质性响应。未对谈判文件做实质性响应的供应商，为无效报价，不得进入具体谈判程序。</w:t>
      </w:r>
    </w:p>
    <w:p w14:paraId="61AFE3E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对某一供应商的鉴定中，若有半数以上谈判小组成员认为某供应商有一项以上（包括一项）“不符合”，则该供应商不得进入下一步的评审。</w:t>
      </w:r>
    </w:p>
    <w:p w14:paraId="3B98D9BD">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6.1.2评审内容的保密</w:t>
      </w:r>
    </w:p>
    <w:p w14:paraId="08C6536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（1）谈判开始，直到宣布成交供应商为止，凡属于审查、报价和比较报价的所有资料，有关授予合同的信息，都不应向供应商或与评审无关的其他人泄露。</w:t>
      </w:r>
    </w:p>
    <w:p w14:paraId="7D0AEF4D">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（2）在响应文件的审查、澄清、评价和比较以及授予合同过程中，供应商对采购人和谈判小组成员施加影响的任何行为，都将导致取消其报价资格。</w:t>
      </w:r>
    </w:p>
    <w:p w14:paraId="6FFC181B">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6.1.3 报价无效</w:t>
      </w:r>
    </w:p>
    <w:p w14:paraId="2BFE64F9">
      <w:pPr>
        <w:spacing w:line="360" w:lineRule="auto"/>
        <w:ind w:left="0" w:leftChars="0" w:firstLine="480" w:firstLineChars="200"/>
        <w:rPr>
          <w:sz w:val="24"/>
        </w:rPr>
      </w:pPr>
      <w:r>
        <w:rPr>
          <w:rFonts w:hint="eastAsia"/>
          <w:sz w:val="24"/>
        </w:rPr>
        <w:t>6.1.3.</w:t>
      </w:r>
      <w:r>
        <w:rPr>
          <w:sz w:val="24"/>
        </w:rPr>
        <w:t>1</w:t>
      </w:r>
      <w:r>
        <w:rPr>
          <w:rFonts w:hAnsi="宋体"/>
          <w:sz w:val="24"/>
        </w:rPr>
        <w:t>供应商有下列情况之一者，其报价</w:t>
      </w:r>
      <w:r>
        <w:rPr>
          <w:rFonts w:hint="eastAsia" w:hAnsi="宋体"/>
          <w:sz w:val="24"/>
        </w:rPr>
        <w:t>无效</w:t>
      </w:r>
      <w:r>
        <w:rPr>
          <w:rFonts w:hAnsi="宋体"/>
          <w:sz w:val="24"/>
        </w:rPr>
        <w:t>，但报价保证金不被没收：</w:t>
      </w:r>
    </w:p>
    <w:p w14:paraId="6F4EE377">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（1）谈判文件中要求必备的证件未能提供；</w:t>
      </w:r>
    </w:p>
    <w:p w14:paraId="7840201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（2）不能达到谈判文件供应商资质要求的；</w:t>
      </w:r>
    </w:p>
    <w:p w14:paraId="1D42C222">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（3）报价文件不完整；</w:t>
      </w:r>
    </w:p>
    <w:p w14:paraId="55860DBC">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（4）未按规定报价或最终报价超过采购预算；</w:t>
      </w:r>
    </w:p>
    <w:p w14:paraId="6E0AD67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（5）未按谈判文件要求提交报价保证金；</w:t>
      </w:r>
    </w:p>
    <w:p w14:paraId="39666ED8">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（6）报价文件未按谈判文件要求密封、签署、装订、盖章；</w:t>
      </w:r>
    </w:p>
    <w:p w14:paraId="5CB78B09">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（7）报价文件载明的交货时间超过谈判文件规定的时间且不能被采购人接受；</w:t>
      </w:r>
    </w:p>
    <w:p w14:paraId="79DB4E71">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（8）报价文件载明的服务检验标准和方法等不符合谈判文件的要求；</w:t>
      </w:r>
    </w:p>
    <w:p w14:paraId="1DA207B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（9）报价文件中的服务配置、技术参数明显不符合谈判文件要求；</w:t>
      </w:r>
    </w:p>
    <w:p w14:paraId="5D4DC511">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（10）响应文件未实质性响应竞争性谈判文件规定的格式、内容；</w:t>
      </w:r>
    </w:p>
    <w:p w14:paraId="17408493">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（11）附有采购人不能接受的条件或不响应竞争性谈判文件规定的内容。</w:t>
      </w:r>
    </w:p>
    <w:p w14:paraId="47296D5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（12）法律、法规规定的其他情况。</w:t>
      </w:r>
    </w:p>
    <w:p w14:paraId="3898E2B4">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6.1.3.2供应商有下列情况之一者，其报价无效：</w:t>
      </w:r>
    </w:p>
    <w:p w14:paraId="0534711E">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（1）供应商向谈判小组、谈判工作有关的人员提供不正当利益；</w:t>
      </w:r>
    </w:p>
    <w:p w14:paraId="233865E1">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（2）成交供应商不按谈判文件规定的要求签订合同；</w:t>
      </w:r>
    </w:p>
    <w:p w14:paraId="2A265A1E">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（3）成交供应商未按规定交纳相关费用；</w:t>
      </w:r>
    </w:p>
    <w:p w14:paraId="0924827D">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（4）法律、法规规定的其他情况。</w:t>
      </w:r>
    </w:p>
    <w:p w14:paraId="187D4B77">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6.1.3.3供应商有下列情况之一者，其报价无效，将取消其报价资格并负法律责任：</w:t>
      </w:r>
    </w:p>
    <w:p w14:paraId="3536B956">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（1）供应商提供的有关资格、资质证明文件不真实，提供虚假报价材料；</w:t>
      </w:r>
    </w:p>
    <w:p w14:paraId="7BDA1C67">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（2）供应商在报价有效期内撤回报价；</w:t>
      </w:r>
    </w:p>
    <w:p w14:paraId="7226FBB3">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（3）在整个谈判过程中，供应商有企图影响谈判结果的任何不当活动；</w:t>
      </w:r>
    </w:p>
    <w:p w14:paraId="2BC3EB4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（4）供应商串通报价或采用不正当竞争方式；</w:t>
      </w:r>
    </w:p>
    <w:p w14:paraId="117E7587">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（5）供应商以任何方式诋毁其他供应商；</w:t>
      </w:r>
    </w:p>
    <w:p w14:paraId="27CF920C">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（6）法律、法规规定的其他情况。</w:t>
      </w:r>
    </w:p>
    <w:p w14:paraId="62476A71">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供应商有上述行为之一的，采购人将严格依照有关法律、法规及规章的规定行使其权利。供应商给采购人造成损失的，采购人有索赔的权利，供应商应予以赔偿。</w:t>
      </w:r>
    </w:p>
    <w:p w14:paraId="179BE31A">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6.1.4响应文件计算错误的修正</w:t>
      </w:r>
    </w:p>
    <w:p w14:paraId="35557995">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6.1.4.1谈判小组将对确定为实质上响应竞争性谈判文件要求的响应文件进行校核，看其是否有计算或表达上的错误，修正错误的原则如下：</w:t>
      </w:r>
    </w:p>
    <w:p w14:paraId="4E4750EA">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（1）如果数字表示的金额和用文字表示的金额不一致时，应以文字表示的金额为准；</w:t>
      </w:r>
    </w:p>
    <w:p w14:paraId="389F5A0B">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（2）当单价与数量的乘积与合价不一致时，以单价为准，除非谈判小组认为单价有明显的小数点错误，此时应以标出的合价为准，并修改单价。</w:t>
      </w:r>
    </w:p>
    <w:p w14:paraId="54B4E35A">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6.1.4.2按上述修正错误的原则及方法调整或修正响应文件的报价，供应商同意后，调整后的报价对供应商起约束作用。如果供应商不接受修正后的报价，则其报价将被拒绝并且其报价保证金也将被没收，并不影响评审工作。</w:t>
      </w:r>
    </w:p>
    <w:p w14:paraId="1DF977A6">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6.1.5谈判</w:t>
      </w:r>
    </w:p>
    <w:p w14:paraId="75F54B0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在详细审阅各供应商的响应文件之后，谈判小组可根据各供应商响应文件编制情况组织谈判。供应商在接到采购代理机构的谈判通知后，应组织相关人员出席谈判。谈判时，由谈判小组提出问题，供应商应首先作出口头解答，然后形成书面文字，经授权代表签字后，在规定的时间内提交给谈判小组。</w:t>
      </w:r>
    </w:p>
    <w:p w14:paraId="3BE849EA">
      <w:pPr>
        <w:spacing w:line="360" w:lineRule="auto"/>
        <w:ind w:left="0" w:leftChars="0" w:firstLine="480" w:firstLineChars="200"/>
        <w:rPr>
          <w:sz w:val="24"/>
        </w:rPr>
      </w:pPr>
      <w:r>
        <w:rPr>
          <w:rFonts w:hint="eastAsia"/>
          <w:sz w:val="24"/>
        </w:rPr>
        <w:t>6.1.6</w:t>
      </w:r>
      <w:r>
        <w:rPr>
          <w:rFonts w:hAnsi="宋体"/>
          <w:sz w:val="24"/>
        </w:rPr>
        <w:t>最终报价</w:t>
      </w:r>
    </w:p>
    <w:p w14:paraId="37B12577">
      <w:pPr>
        <w:spacing w:line="360" w:lineRule="auto"/>
        <w:ind w:left="0" w:leftChars="0" w:firstLine="480" w:firstLineChars="200"/>
        <w:rPr>
          <w:rFonts w:hint="eastAsia" w:ascii="宋体" w:hAnsi="宋体"/>
          <w:sz w:val="24"/>
          <w:highlight w:val="none"/>
        </w:rPr>
      </w:pPr>
      <w:r>
        <w:rPr>
          <w:rFonts w:hint="eastAsia" w:hAnsi="宋体"/>
          <w:sz w:val="24"/>
        </w:rPr>
        <w:t>谈判小组所有成员集中与单一供应商分别进行谈判</w:t>
      </w:r>
      <w:r>
        <w:rPr>
          <w:rFonts w:hAnsi="宋体"/>
          <w:sz w:val="24"/>
        </w:rPr>
        <w:t>，各供应商最终报价函必须经授权代表签字且按指定时间同时送达谈判小组，否则仍按原报价进行评审。</w:t>
      </w:r>
      <w:r>
        <w:rPr>
          <w:rFonts w:hint="eastAsia" w:hAnsi="宋体"/>
          <w:b/>
          <w:sz w:val="24"/>
          <w:highlight w:val="yellow"/>
        </w:rPr>
        <w:t>多次报价中的优惠均有效，</w:t>
      </w:r>
      <w:r>
        <w:rPr>
          <w:rFonts w:hint="eastAsia" w:ascii="宋体" w:hAnsi="宋体" w:eastAsia="宋体" w:cs="Times New Roman"/>
          <w:sz w:val="24"/>
          <w:highlight w:val="yellow"/>
          <w:lang w:val="en-US" w:eastAsia="zh-CN"/>
        </w:rPr>
        <w:t>评审人员根据评分表内容对各个</w:t>
      </w:r>
      <w:r>
        <w:rPr>
          <w:rFonts w:hint="eastAsia" w:ascii="宋体" w:hAnsi="宋体" w:eastAsia="宋体" w:cs="Times New Roman"/>
          <w:sz w:val="24"/>
          <w:highlight w:val="yellow"/>
        </w:rPr>
        <w:t>供应商</w:t>
      </w:r>
      <w:r>
        <w:rPr>
          <w:rFonts w:hint="eastAsia" w:ascii="宋体" w:hAnsi="宋体" w:eastAsia="宋体" w:cs="Times New Roman"/>
          <w:sz w:val="24"/>
          <w:highlight w:val="yellow"/>
          <w:lang w:val="en-US" w:eastAsia="zh-CN"/>
        </w:rPr>
        <w:t>进行打分，按照综合得分</w:t>
      </w:r>
      <w:r>
        <w:rPr>
          <w:rFonts w:hint="eastAsia" w:ascii="宋体" w:hAnsi="宋体"/>
          <w:sz w:val="24"/>
          <w:highlight w:val="yellow"/>
        </w:rPr>
        <w:t>由</w:t>
      </w:r>
      <w:r>
        <w:rPr>
          <w:rFonts w:hint="eastAsia" w:ascii="宋体" w:hAnsi="宋体"/>
          <w:sz w:val="24"/>
          <w:highlight w:val="yellow"/>
          <w:lang w:val="en-US" w:eastAsia="zh-CN"/>
        </w:rPr>
        <w:t>高</w:t>
      </w:r>
      <w:r>
        <w:rPr>
          <w:rFonts w:hint="eastAsia" w:ascii="宋体" w:hAnsi="宋体"/>
          <w:sz w:val="24"/>
          <w:highlight w:val="yellow"/>
        </w:rPr>
        <w:t>到</w:t>
      </w:r>
      <w:r>
        <w:rPr>
          <w:rFonts w:hint="eastAsia" w:ascii="宋体" w:hAnsi="宋体"/>
          <w:sz w:val="24"/>
          <w:highlight w:val="yellow"/>
          <w:lang w:val="en-US" w:eastAsia="zh-CN"/>
        </w:rPr>
        <w:t>低</w:t>
      </w:r>
      <w:r>
        <w:rPr>
          <w:rFonts w:hint="eastAsia" w:ascii="宋体" w:hAnsi="宋体"/>
          <w:sz w:val="24"/>
          <w:highlight w:val="yellow"/>
        </w:rPr>
        <w:t>的顺序推荐</w:t>
      </w:r>
      <w:r>
        <w:rPr>
          <w:rFonts w:hint="eastAsia"/>
          <w:sz w:val="24"/>
          <w:highlight w:val="yellow"/>
          <w:lang w:val="en-US" w:eastAsia="zh-CN"/>
        </w:rPr>
        <w:t>2</w:t>
      </w:r>
      <w:r>
        <w:rPr>
          <w:rFonts w:hint="eastAsia" w:ascii="宋体" w:hAnsi="宋体"/>
          <w:sz w:val="24"/>
          <w:highlight w:val="yellow"/>
        </w:rPr>
        <w:t>名成交候选人</w:t>
      </w:r>
      <w:r>
        <w:rPr>
          <w:rFonts w:hint="eastAsia" w:ascii="宋体" w:hAnsi="宋体"/>
          <w:sz w:val="24"/>
          <w:highlight w:val="none"/>
        </w:rPr>
        <w:t>。</w:t>
      </w:r>
    </w:p>
    <w:p w14:paraId="28C08473">
      <w:p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采购人从评审报告提出的成交候选人中，根据质量和服务均能满足谈判文件实质性响应要求且</w:t>
      </w:r>
      <w:r>
        <w:rPr>
          <w:rFonts w:hint="eastAsia" w:ascii="宋体" w:hAnsi="宋体"/>
          <w:sz w:val="24"/>
          <w:highlight w:val="none"/>
          <w:lang w:val="en-US" w:eastAsia="zh-CN"/>
        </w:rPr>
        <w:t>综合得分最高</w:t>
      </w:r>
      <w:r>
        <w:rPr>
          <w:rFonts w:hint="eastAsia" w:ascii="宋体" w:hAnsi="宋体"/>
          <w:sz w:val="24"/>
          <w:highlight w:val="none"/>
        </w:rPr>
        <w:t>的原则确定成交供应商。</w:t>
      </w:r>
    </w:p>
    <w:p w14:paraId="5E3FF4EA">
      <w:pPr>
        <w:spacing w:line="360" w:lineRule="auto"/>
        <w:ind w:left="0" w:leftChars="0" w:firstLine="480" w:firstLineChars="200"/>
        <w:rPr>
          <w:rFonts w:hint="eastAsia" w:ascii="宋体" w:hAnsi="宋体"/>
          <w:sz w:val="24"/>
        </w:rPr>
      </w:pPr>
      <w:r>
        <w:rPr>
          <w:rFonts w:hint="eastAsia" w:ascii="宋体" w:hAnsi="宋体"/>
          <w:sz w:val="24"/>
        </w:rPr>
        <w:t>当确定的成交供应商放弃成交或者因不可抗力提出不能履行合同时，采购人有权将合同授予报价排名第二的成交(候选)供应商，或重新采购。</w:t>
      </w:r>
    </w:p>
    <w:p w14:paraId="1739BDE5">
      <w:pPr>
        <w:spacing w:line="360" w:lineRule="auto"/>
        <w:ind w:left="0" w:leftChars="0" w:firstLine="480" w:firstLineChars="200"/>
        <w:rPr>
          <w:rFonts w:hint="eastAsia"/>
          <w:sz w:val="24"/>
        </w:rPr>
      </w:pPr>
      <w:r>
        <w:rPr>
          <w:rFonts w:hint="eastAsia"/>
          <w:sz w:val="24"/>
        </w:rPr>
        <w:t>6.2、谈判小组经评审，认为所有报价都不符合竞争性谈判文件的要求的，可以否决所有报价，采购人将依法重新组织采购。</w:t>
      </w:r>
    </w:p>
    <w:p w14:paraId="00D657C5">
      <w:pPr>
        <w:pStyle w:val="41"/>
        <w:rPr>
          <w:rStyle w:val="28"/>
          <w:rFonts w:hint="eastAsia" w:ascii="Times New Roman" w:hAnsi="Times New Roman" w:eastAsia="宋体" w:cs="Times New Roman"/>
          <w:b w:val="0"/>
          <w:bCs w:val="0"/>
        </w:rPr>
      </w:pPr>
      <w:r>
        <w:rPr>
          <w:rStyle w:val="28"/>
          <w:rFonts w:hint="eastAsia" w:ascii="Times New Roman" w:hAnsi="Times New Roman" w:eastAsia="宋体" w:cs="Times New Roman"/>
          <w:b w:val="0"/>
          <w:bCs w:val="0"/>
        </w:rPr>
        <w:t>7.合同授予</w:t>
      </w:r>
      <w:bookmarkEnd w:id="71"/>
      <w:bookmarkEnd w:id="72"/>
    </w:p>
    <w:p w14:paraId="64A59291">
      <w:pPr>
        <w:pStyle w:val="35"/>
      </w:pPr>
      <w:bookmarkStart w:id="73" w:name="_Toc507936047"/>
      <w:bookmarkStart w:id="74" w:name="_Toc506105855"/>
      <w:r>
        <w:rPr>
          <w:rFonts w:hint="eastAsia"/>
        </w:rPr>
        <w:t>7.1</w:t>
      </w:r>
      <w:r>
        <w:rPr>
          <w:rFonts w:hint="eastAsia"/>
          <w:lang w:val="en-US" w:eastAsia="zh-CN"/>
        </w:rPr>
        <w:t>成交</w:t>
      </w:r>
      <w:r>
        <w:rPr>
          <w:rFonts w:hint="eastAsia"/>
        </w:rPr>
        <w:t>方式</w:t>
      </w:r>
      <w:bookmarkEnd w:id="73"/>
      <w:bookmarkEnd w:id="74"/>
    </w:p>
    <w:p w14:paraId="5F1CE5DE">
      <w:pPr>
        <w:spacing w:line="360" w:lineRule="auto"/>
        <w:ind w:firstLine="480"/>
        <w:jc w:val="left"/>
        <w:rPr>
          <w:rFonts w:ascii="宋体" w:hAnsi="宋体" w:cs="仿宋"/>
          <w:sz w:val="24"/>
        </w:rPr>
      </w:pPr>
      <w:r>
        <w:rPr>
          <w:rFonts w:hint="eastAsia" w:cs="仿宋"/>
          <w:sz w:val="24"/>
          <w:lang w:val="en-US" w:eastAsia="zh-CN"/>
        </w:rPr>
        <w:t>采购</w:t>
      </w:r>
      <w:r>
        <w:rPr>
          <w:rFonts w:hint="eastAsia" w:ascii="宋体" w:hAnsi="宋体" w:cs="仿宋"/>
          <w:sz w:val="24"/>
        </w:rPr>
        <w:t>人根据评</w:t>
      </w:r>
      <w:r>
        <w:rPr>
          <w:rFonts w:hint="eastAsia" w:cs="仿宋"/>
          <w:sz w:val="24"/>
          <w:lang w:val="en-US" w:eastAsia="zh-CN"/>
        </w:rPr>
        <w:t>审</w:t>
      </w:r>
      <w:r>
        <w:rPr>
          <w:rFonts w:hint="eastAsia" w:ascii="宋体" w:hAnsi="宋体" w:cs="仿宋"/>
          <w:sz w:val="24"/>
        </w:rPr>
        <w:t>报告中推荐的</w:t>
      </w:r>
      <w:r>
        <w:rPr>
          <w:rFonts w:hint="eastAsia" w:cs="仿宋"/>
          <w:sz w:val="24"/>
          <w:lang w:val="en-US" w:eastAsia="zh-CN"/>
        </w:rPr>
        <w:t>成交</w:t>
      </w:r>
      <w:r>
        <w:rPr>
          <w:rFonts w:hint="eastAsia" w:ascii="宋体" w:hAnsi="宋体" w:cs="仿宋"/>
          <w:sz w:val="24"/>
        </w:rPr>
        <w:t>人候选人择优选定</w:t>
      </w:r>
      <w:r>
        <w:rPr>
          <w:rFonts w:hint="eastAsia" w:cs="仿宋"/>
          <w:sz w:val="24"/>
          <w:lang w:val="en-US" w:eastAsia="zh-CN"/>
        </w:rPr>
        <w:t>成交</w:t>
      </w:r>
      <w:r>
        <w:rPr>
          <w:rFonts w:hint="eastAsia" w:ascii="宋体" w:hAnsi="宋体" w:cs="仿宋"/>
          <w:sz w:val="24"/>
        </w:rPr>
        <w:t>人。</w:t>
      </w:r>
    </w:p>
    <w:p w14:paraId="70972118">
      <w:pPr>
        <w:pStyle w:val="35"/>
      </w:pPr>
      <w:bookmarkStart w:id="75" w:name="_Toc506105856"/>
      <w:bookmarkStart w:id="76" w:name="_Toc507936048"/>
      <w:r>
        <w:rPr>
          <w:rFonts w:hint="eastAsia"/>
        </w:rPr>
        <w:t>7.2</w:t>
      </w:r>
      <w:r>
        <w:rPr>
          <w:rFonts w:hint="eastAsia"/>
          <w:lang w:val="en-US" w:eastAsia="zh-CN"/>
        </w:rPr>
        <w:t>成交</w:t>
      </w:r>
      <w:r>
        <w:rPr>
          <w:rFonts w:hint="eastAsia"/>
        </w:rPr>
        <w:t>通知</w:t>
      </w:r>
      <w:bookmarkEnd w:id="75"/>
      <w:bookmarkEnd w:id="76"/>
    </w:p>
    <w:p w14:paraId="19D3088E">
      <w:pPr>
        <w:spacing w:line="360" w:lineRule="auto"/>
        <w:ind w:firstLine="480" w:firstLineChars="200"/>
        <w:rPr>
          <w:rFonts w:ascii="宋体" w:hAnsi="宋体" w:cs="仿宋"/>
          <w:sz w:val="24"/>
        </w:rPr>
      </w:pPr>
      <w:bookmarkStart w:id="77" w:name="_Toc506105857"/>
      <w:bookmarkStart w:id="78" w:name="_Toc507936049"/>
      <w:r>
        <w:rPr>
          <w:rFonts w:hint="eastAsia" w:cs="仿宋"/>
          <w:sz w:val="24"/>
          <w:lang w:val="en-US" w:eastAsia="zh-CN"/>
        </w:rPr>
        <w:t>成交</w:t>
      </w:r>
      <w:r>
        <w:rPr>
          <w:rFonts w:hint="eastAsia" w:ascii="宋体" w:hAnsi="宋体" w:cs="仿宋"/>
          <w:sz w:val="24"/>
        </w:rPr>
        <w:t>结果通过</w:t>
      </w:r>
      <w:r>
        <w:rPr>
          <w:rFonts w:hint="eastAsia" w:eastAsia="宋体" w:cs="宋体"/>
          <w:sz w:val="24"/>
          <w:lang w:val="en-US" w:eastAsia="zh-CN"/>
        </w:rPr>
        <w:t>济钢集团有限公司阳光购销平台</w:t>
      </w:r>
      <w:r>
        <w:rPr>
          <w:rFonts w:hint="eastAsia" w:ascii="宋体" w:hAnsi="宋体" w:cs="仿宋"/>
          <w:sz w:val="24"/>
        </w:rPr>
        <w:t>公示。公示期结束后，</w:t>
      </w:r>
      <w:r>
        <w:rPr>
          <w:rFonts w:hint="eastAsia" w:cs="仿宋"/>
          <w:sz w:val="24"/>
          <w:lang w:val="en-US" w:eastAsia="zh-CN"/>
        </w:rPr>
        <w:t>采购</w:t>
      </w:r>
      <w:r>
        <w:rPr>
          <w:rFonts w:hint="eastAsia" w:ascii="宋体" w:hAnsi="宋体" w:cs="仿宋"/>
          <w:sz w:val="24"/>
        </w:rPr>
        <w:t>人以书面形式向</w:t>
      </w:r>
      <w:r>
        <w:rPr>
          <w:rFonts w:hint="eastAsia" w:cs="仿宋"/>
          <w:sz w:val="24"/>
          <w:lang w:val="en-US" w:eastAsia="zh-CN"/>
        </w:rPr>
        <w:t>成交</w:t>
      </w:r>
      <w:r>
        <w:rPr>
          <w:rFonts w:hint="eastAsia" w:ascii="宋体" w:hAnsi="宋体" w:cs="仿宋"/>
          <w:sz w:val="24"/>
        </w:rPr>
        <w:t>人发出</w:t>
      </w:r>
      <w:r>
        <w:rPr>
          <w:rFonts w:hint="eastAsia" w:cs="仿宋"/>
          <w:sz w:val="24"/>
          <w:lang w:val="en-US" w:eastAsia="zh-CN"/>
        </w:rPr>
        <w:t>成交</w:t>
      </w:r>
      <w:r>
        <w:rPr>
          <w:rFonts w:hint="eastAsia" w:ascii="宋体" w:hAnsi="宋体" w:cs="仿宋"/>
          <w:sz w:val="24"/>
        </w:rPr>
        <w:t>通知书</w:t>
      </w:r>
    </w:p>
    <w:p w14:paraId="2B2AAC58">
      <w:pPr>
        <w:pStyle w:val="35"/>
      </w:pPr>
      <w:r>
        <w:rPr>
          <w:rFonts w:hint="eastAsia"/>
        </w:rPr>
        <w:t>7.3履约担保</w:t>
      </w:r>
      <w:bookmarkEnd w:id="77"/>
      <w:bookmarkEnd w:id="78"/>
    </w:p>
    <w:p w14:paraId="1ABC15D0">
      <w:pPr>
        <w:spacing w:line="360" w:lineRule="auto"/>
        <w:ind w:firstLine="480" w:firstLineChars="200"/>
        <w:rPr>
          <w:rFonts w:ascii="宋体" w:hAnsi="宋体" w:cs="仿宋"/>
          <w:sz w:val="24"/>
        </w:rPr>
      </w:pPr>
      <w:r>
        <w:rPr>
          <w:rFonts w:hint="eastAsia" w:ascii="宋体" w:hAnsi="宋体" w:cs="仿宋"/>
          <w:sz w:val="24"/>
        </w:rPr>
        <w:t>7.</w:t>
      </w:r>
      <w:r>
        <w:rPr>
          <w:rFonts w:hint="eastAsia" w:cs="仿宋"/>
          <w:sz w:val="24"/>
          <w:lang w:val="en-US" w:eastAsia="zh-CN"/>
        </w:rPr>
        <w:t>3</w:t>
      </w:r>
      <w:r>
        <w:rPr>
          <w:rFonts w:hint="eastAsia" w:ascii="宋体" w:hAnsi="宋体" w:cs="仿宋"/>
          <w:sz w:val="24"/>
        </w:rPr>
        <w:t>.1 签订合同前，</w:t>
      </w:r>
      <w:r>
        <w:rPr>
          <w:rFonts w:hint="eastAsia" w:cs="仿宋"/>
          <w:sz w:val="24"/>
          <w:lang w:val="en-US" w:eastAsia="zh-CN"/>
        </w:rPr>
        <w:t>成交</w:t>
      </w:r>
      <w:r>
        <w:rPr>
          <w:rFonts w:hint="eastAsia" w:ascii="宋体" w:hAnsi="宋体" w:cs="仿宋"/>
          <w:sz w:val="24"/>
        </w:rPr>
        <w:t>人应按</w:t>
      </w:r>
      <w:r>
        <w:rPr>
          <w:rFonts w:hint="eastAsia" w:cs="仿宋"/>
          <w:sz w:val="24"/>
          <w:lang w:val="en-US" w:eastAsia="zh-CN"/>
        </w:rPr>
        <w:t>谈判</w:t>
      </w:r>
      <w:r>
        <w:rPr>
          <w:rFonts w:hint="eastAsia" w:ascii="宋体" w:hAnsi="宋体" w:cs="仿宋"/>
          <w:sz w:val="24"/>
        </w:rPr>
        <w:t>须知前附表规定向</w:t>
      </w:r>
      <w:r>
        <w:rPr>
          <w:rFonts w:hint="eastAsia" w:cs="仿宋"/>
          <w:sz w:val="24"/>
          <w:lang w:val="en-US" w:eastAsia="zh-CN"/>
        </w:rPr>
        <w:t>采购</w:t>
      </w:r>
      <w:r>
        <w:rPr>
          <w:rFonts w:hint="eastAsia" w:ascii="宋体" w:hAnsi="宋体" w:cs="仿宋"/>
          <w:sz w:val="24"/>
        </w:rPr>
        <w:t>人提交履约担保。</w:t>
      </w:r>
    </w:p>
    <w:p w14:paraId="6058A5D1">
      <w:pPr>
        <w:spacing w:line="360" w:lineRule="auto"/>
        <w:ind w:firstLine="480" w:firstLineChars="200"/>
        <w:rPr>
          <w:rFonts w:hint="eastAsia" w:ascii="宋体" w:hAnsi="宋体" w:cs="仿宋"/>
          <w:bCs/>
          <w:sz w:val="24"/>
        </w:rPr>
      </w:pPr>
      <w:r>
        <w:rPr>
          <w:rFonts w:hint="eastAsia" w:ascii="宋体" w:hAnsi="宋体" w:cs="仿宋"/>
          <w:bCs/>
          <w:sz w:val="24"/>
        </w:rPr>
        <w:t>7.</w:t>
      </w:r>
      <w:r>
        <w:rPr>
          <w:rFonts w:hint="eastAsia" w:cs="仿宋"/>
          <w:bCs/>
          <w:sz w:val="24"/>
          <w:lang w:val="en-US" w:eastAsia="zh-CN"/>
        </w:rPr>
        <w:t>3</w:t>
      </w:r>
      <w:r>
        <w:rPr>
          <w:rFonts w:hint="eastAsia" w:ascii="宋体" w:hAnsi="宋体" w:cs="仿宋"/>
          <w:bCs/>
          <w:sz w:val="24"/>
        </w:rPr>
        <w:t xml:space="preserve">.2 </w:t>
      </w:r>
      <w:r>
        <w:rPr>
          <w:rFonts w:hint="eastAsia" w:cs="仿宋"/>
          <w:sz w:val="24"/>
          <w:lang w:val="en-US" w:eastAsia="zh-CN"/>
        </w:rPr>
        <w:t>成交</w:t>
      </w:r>
      <w:r>
        <w:rPr>
          <w:rFonts w:hint="eastAsia" w:ascii="宋体" w:hAnsi="宋体" w:cs="仿宋"/>
          <w:bCs/>
          <w:sz w:val="24"/>
        </w:rPr>
        <w:t>人不能按</w:t>
      </w:r>
      <w:r>
        <w:rPr>
          <w:rFonts w:hint="eastAsia" w:cs="仿宋"/>
          <w:sz w:val="24"/>
          <w:lang w:val="en-US" w:eastAsia="zh-CN"/>
        </w:rPr>
        <w:t>谈判邀请书</w:t>
      </w:r>
      <w:r>
        <w:rPr>
          <w:rFonts w:hint="eastAsia" w:ascii="宋体" w:hAnsi="宋体" w:cs="仿宋"/>
          <w:sz w:val="24"/>
        </w:rPr>
        <w:t>规定</w:t>
      </w:r>
      <w:r>
        <w:rPr>
          <w:rFonts w:hint="eastAsia" w:ascii="宋体" w:hAnsi="宋体" w:cs="仿宋"/>
          <w:bCs/>
          <w:sz w:val="24"/>
        </w:rPr>
        <w:t>要求提交履约担保的，视为放弃</w:t>
      </w:r>
      <w:r>
        <w:rPr>
          <w:rFonts w:hint="eastAsia" w:cs="仿宋"/>
          <w:sz w:val="24"/>
          <w:lang w:val="en-US" w:eastAsia="zh-CN"/>
        </w:rPr>
        <w:t>成交</w:t>
      </w:r>
      <w:r>
        <w:rPr>
          <w:rFonts w:hint="eastAsia" w:ascii="宋体" w:hAnsi="宋体" w:cs="仿宋"/>
          <w:bCs/>
          <w:sz w:val="24"/>
        </w:rPr>
        <w:t>，其</w:t>
      </w:r>
      <w:r>
        <w:rPr>
          <w:rFonts w:hint="eastAsia" w:cs="仿宋"/>
          <w:bCs/>
          <w:sz w:val="24"/>
          <w:lang w:val="en-US" w:eastAsia="zh-CN"/>
        </w:rPr>
        <w:t>谈判</w:t>
      </w:r>
      <w:r>
        <w:rPr>
          <w:rFonts w:hint="eastAsia" w:ascii="宋体" w:hAnsi="宋体" w:cs="仿宋"/>
          <w:bCs/>
          <w:sz w:val="24"/>
        </w:rPr>
        <w:t>保证金不予退还，给</w:t>
      </w:r>
      <w:r>
        <w:rPr>
          <w:rFonts w:hint="eastAsia" w:cs="仿宋"/>
          <w:bCs/>
          <w:sz w:val="24"/>
          <w:lang w:val="en-US" w:eastAsia="zh-CN"/>
        </w:rPr>
        <w:t>采购</w:t>
      </w:r>
      <w:r>
        <w:rPr>
          <w:rFonts w:hint="eastAsia" w:ascii="宋体" w:hAnsi="宋体" w:cs="仿宋"/>
          <w:bCs/>
          <w:sz w:val="24"/>
        </w:rPr>
        <w:t>人造成的损失超过</w:t>
      </w:r>
      <w:r>
        <w:rPr>
          <w:rFonts w:hint="eastAsia" w:cs="仿宋"/>
          <w:bCs/>
          <w:sz w:val="24"/>
          <w:lang w:val="en-US" w:eastAsia="zh-CN"/>
        </w:rPr>
        <w:t>谈判</w:t>
      </w:r>
      <w:r>
        <w:rPr>
          <w:rFonts w:hint="eastAsia" w:ascii="宋体" w:hAnsi="宋体" w:cs="仿宋"/>
          <w:bCs/>
          <w:sz w:val="24"/>
        </w:rPr>
        <w:t>保证金数额的，</w:t>
      </w:r>
      <w:r>
        <w:rPr>
          <w:rFonts w:hint="eastAsia" w:cs="仿宋"/>
          <w:sz w:val="24"/>
          <w:lang w:val="en-US" w:eastAsia="zh-CN"/>
        </w:rPr>
        <w:t>成交</w:t>
      </w:r>
      <w:r>
        <w:rPr>
          <w:rFonts w:hint="eastAsia" w:ascii="宋体" w:hAnsi="宋体" w:cs="仿宋"/>
          <w:bCs/>
          <w:sz w:val="24"/>
        </w:rPr>
        <w:t>人还应当对超过部分予以赔偿。</w:t>
      </w:r>
    </w:p>
    <w:p w14:paraId="3674E5A7">
      <w:pPr>
        <w:pStyle w:val="35"/>
        <w:rPr>
          <w:rFonts w:hint="eastAsia"/>
        </w:rPr>
      </w:pPr>
      <w:r>
        <w:rPr>
          <w:rFonts w:hint="eastAsia"/>
          <w:lang w:val="en-US" w:eastAsia="zh-CN"/>
        </w:rPr>
        <w:t>7.4</w:t>
      </w:r>
      <w:r>
        <w:rPr>
          <w:rFonts w:hint="eastAsia"/>
        </w:rPr>
        <w:t>签订合同</w:t>
      </w:r>
    </w:p>
    <w:p w14:paraId="5F9F4EDF">
      <w:pPr>
        <w:spacing w:line="360" w:lineRule="auto"/>
        <w:ind w:firstLine="420" w:firstLineChars="200"/>
        <w:rPr>
          <w:rFonts w:hint="eastAsia" w:cs="仿宋"/>
        </w:rPr>
      </w:pPr>
      <w:r>
        <w:rPr>
          <w:rFonts w:cs="仿宋"/>
        </w:rPr>
        <w:t xml:space="preserve"> </w:t>
      </w:r>
      <w:r>
        <w:rPr>
          <w:rFonts w:hint="eastAsia" w:cs="仿宋"/>
        </w:rPr>
        <w:t>应当在</w:t>
      </w:r>
      <w:r>
        <w:rPr>
          <w:rFonts w:hint="eastAsia" w:cs="仿宋"/>
          <w:lang w:val="en-US" w:eastAsia="zh-CN"/>
        </w:rPr>
        <w:t>成交</w:t>
      </w:r>
      <w:r>
        <w:rPr>
          <w:rFonts w:hint="eastAsia" w:cs="仿宋"/>
        </w:rPr>
        <w:t>通知书发出之日起</w:t>
      </w:r>
      <w:r>
        <w:rPr>
          <w:rFonts w:hint="eastAsia" w:cs="仿宋"/>
          <w:lang w:val="en-US" w:eastAsia="zh-CN"/>
        </w:rPr>
        <w:t>7</w:t>
      </w:r>
      <w:r>
        <w:rPr>
          <w:rFonts w:hint="eastAsia" w:cs="仿宋"/>
        </w:rPr>
        <w:t>日内，根据</w:t>
      </w:r>
      <w:r>
        <w:rPr>
          <w:rFonts w:hint="eastAsia" w:cs="仿宋"/>
          <w:lang w:val="en-US" w:eastAsia="zh-CN"/>
        </w:rPr>
        <w:t>谈判</w:t>
      </w:r>
      <w:r>
        <w:rPr>
          <w:rFonts w:hint="eastAsia" w:cs="仿宋"/>
        </w:rPr>
        <w:t>文件和</w:t>
      </w:r>
      <w:r>
        <w:rPr>
          <w:rFonts w:hint="eastAsia" w:cs="仿宋"/>
          <w:sz w:val="24"/>
          <w:lang w:val="en-US" w:eastAsia="zh-CN"/>
        </w:rPr>
        <w:t>供应商</w:t>
      </w:r>
      <w:r>
        <w:rPr>
          <w:rFonts w:hint="eastAsia" w:cs="仿宋"/>
        </w:rPr>
        <w:t>的</w:t>
      </w:r>
      <w:r>
        <w:rPr>
          <w:rFonts w:hint="eastAsia" w:cs="仿宋"/>
          <w:lang w:val="en-US" w:eastAsia="zh-CN"/>
        </w:rPr>
        <w:t>响应</w:t>
      </w:r>
      <w:r>
        <w:rPr>
          <w:rFonts w:hint="eastAsia" w:cs="仿宋"/>
        </w:rPr>
        <w:t>文件订立书面合同。</w:t>
      </w:r>
      <w:r>
        <w:rPr>
          <w:rFonts w:hint="eastAsia" w:cs="仿宋"/>
          <w:sz w:val="24"/>
          <w:lang w:val="en-US" w:eastAsia="zh-CN"/>
        </w:rPr>
        <w:t>供应商</w:t>
      </w:r>
      <w:r>
        <w:rPr>
          <w:rFonts w:hint="eastAsia" w:cs="仿宋"/>
        </w:rPr>
        <w:t>无正当理由拒签合同，在签订合同时向</w:t>
      </w:r>
      <w:r>
        <w:rPr>
          <w:rFonts w:hint="eastAsia" w:cs="仿宋"/>
          <w:lang w:val="en-US" w:eastAsia="zh-CN"/>
        </w:rPr>
        <w:t>采购</w:t>
      </w:r>
      <w:r>
        <w:rPr>
          <w:rFonts w:hint="eastAsia" w:cs="仿宋"/>
        </w:rPr>
        <w:t>人提出附加条件，或者不按照</w:t>
      </w:r>
      <w:r>
        <w:rPr>
          <w:rFonts w:hint="eastAsia" w:cs="仿宋"/>
          <w:lang w:val="en-US" w:eastAsia="zh-CN"/>
        </w:rPr>
        <w:t>谈判</w:t>
      </w:r>
      <w:r>
        <w:rPr>
          <w:rFonts w:hint="eastAsia" w:cs="仿宋"/>
        </w:rPr>
        <w:t>文件要求提交履约保证金的，</w:t>
      </w:r>
      <w:r>
        <w:rPr>
          <w:rFonts w:hint="eastAsia" w:cs="仿宋"/>
          <w:lang w:val="en-US" w:eastAsia="zh-CN"/>
        </w:rPr>
        <w:t>采购</w:t>
      </w:r>
      <w:r>
        <w:rPr>
          <w:rFonts w:hint="eastAsia" w:cs="仿宋"/>
        </w:rPr>
        <w:t>人有权取消其</w:t>
      </w:r>
      <w:r>
        <w:rPr>
          <w:rFonts w:hint="eastAsia" w:cs="仿宋"/>
          <w:lang w:val="en-US" w:eastAsia="zh-CN"/>
        </w:rPr>
        <w:t>成交</w:t>
      </w:r>
      <w:r>
        <w:rPr>
          <w:rFonts w:hint="eastAsia" w:cs="仿宋"/>
        </w:rPr>
        <w:t>资格，其</w:t>
      </w:r>
      <w:r>
        <w:rPr>
          <w:rFonts w:hint="eastAsia" w:cs="仿宋"/>
          <w:lang w:val="en-US" w:eastAsia="zh-CN"/>
        </w:rPr>
        <w:t>谈判</w:t>
      </w:r>
      <w:r>
        <w:rPr>
          <w:rFonts w:hint="eastAsia" w:cs="仿宋"/>
        </w:rPr>
        <w:t>保证金不予退还；给</w:t>
      </w:r>
      <w:r>
        <w:rPr>
          <w:rFonts w:hint="eastAsia" w:cs="仿宋"/>
          <w:lang w:val="en-US" w:eastAsia="zh-CN"/>
        </w:rPr>
        <w:t>采购</w:t>
      </w:r>
      <w:r>
        <w:rPr>
          <w:rFonts w:hint="eastAsia" w:cs="仿宋"/>
        </w:rPr>
        <w:t>人造成的损失超过</w:t>
      </w:r>
      <w:r>
        <w:rPr>
          <w:rFonts w:hint="eastAsia" w:cs="仿宋"/>
          <w:lang w:val="en-US" w:eastAsia="zh-CN"/>
        </w:rPr>
        <w:t>谈判</w:t>
      </w:r>
      <w:r>
        <w:rPr>
          <w:rFonts w:hint="eastAsia" w:cs="仿宋"/>
        </w:rPr>
        <w:t>保证金数额的，</w:t>
      </w:r>
      <w:r>
        <w:rPr>
          <w:rFonts w:hint="eastAsia" w:cs="仿宋"/>
          <w:lang w:val="en-US" w:eastAsia="zh-CN"/>
        </w:rPr>
        <w:t>供应商</w:t>
      </w:r>
      <w:r>
        <w:rPr>
          <w:rFonts w:hint="eastAsia" w:cs="仿宋"/>
        </w:rPr>
        <w:t>还应当对超过部分予以赔偿。</w:t>
      </w:r>
    </w:p>
    <w:p w14:paraId="07D4DDE1">
      <w:pPr>
        <w:pStyle w:val="41"/>
        <w:rPr>
          <w:rStyle w:val="28"/>
          <w:rFonts w:hint="eastAsia" w:eastAsia="宋体"/>
          <w:b w:val="0"/>
          <w:bCs w:val="0"/>
          <w:lang w:eastAsia="zh-CN"/>
        </w:rPr>
      </w:pPr>
      <w:bookmarkStart w:id="79" w:name="_Toc506105859"/>
      <w:bookmarkStart w:id="80" w:name="_Toc507936051"/>
      <w:r>
        <w:rPr>
          <w:rStyle w:val="28"/>
          <w:rFonts w:hint="eastAsia"/>
          <w:b w:val="0"/>
          <w:bCs w:val="0"/>
        </w:rPr>
        <w:t>8.重新</w:t>
      </w:r>
      <w:bookmarkEnd w:id="79"/>
      <w:bookmarkEnd w:id="80"/>
      <w:bookmarkStart w:id="81" w:name="_Toc506105860"/>
      <w:r>
        <w:rPr>
          <w:rStyle w:val="28"/>
          <w:rFonts w:hint="eastAsia" w:eastAsia="宋体"/>
          <w:b w:val="0"/>
          <w:bCs w:val="0"/>
          <w:lang w:val="en-US" w:eastAsia="zh-CN"/>
        </w:rPr>
        <w:t>谈判</w:t>
      </w:r>
    </w:p>
    <w:bookmarkEnd w:id="81"/>
    <w:p w14:paraId="374A7F26">
      <w:pPr>
        <w:pStyle w:val="35"/>
        <w:rPr>
          <w:rFonts w:hint="eastAsia" w:eastAsia="宋体"/>
          <w:lang w:eastAsia="zh-CN"/>
        </w:rPr>
      </w:pPr>
      <w:bookmarkStart w:id="82" w:name="_Toc507936052"/>
      <w:r>
        <w:rPr>
          <w:rFonts w:hint="eastAsia"/>
        </w:rPr>
        <w:t>8.1重新</w:t>
      </w:r>
      <w:bookmarkEnd w:id="82"/>
      <w:r>
        <w:rPr>
          <w:rFonts w:hint="eastAsia"/>
          <w:lang w:val="en-US" w:eastAsia="zh-CN"/>
        </w:rPr>
        <w:t>谈判</w:t>
      </w:r>
    </w:p>
    <w:p w14:paraId="05ED70C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详见谈判须知前附表</w:t>
      </w:r>
    </w:p>
    <w:p w14:paraId="3B3DF56B">
      <w:pPr>
        <w:pStyle w:val="41"/>
        <w:rPr>
          <w:rStyle w:val="28"/>
          <w:b w:val="0"/>
          <w:bCs w:val="0"/>
        </w:rPr>
      </w:pPr>
      <w:bookmarkStart w:id="83" w:name="_Toc152045574"/>
      <w:bookmarkStart w:id="84" w:name="_Toc269310962"/>
      <w:bookmarkStart w:id="85" w:name="_Toc144974542"/>
      <w:bookmarkStart w:id="86" w:name="_Toc446434333"/>
      <w:bookmarkStart w:id="87" w:name="_Toc152042350"/>
      <w:bookmarkStart w:id="88" w:name="_Toc507936053"/>
      <w:bookmarkStart w:id="89" w:name="_Toc312072272"/>
      <w:r>
        <w:rPr>
          <w:rStyle w:val="28"/>
          <w:b w:val="0"/>
          <w:bCs w:val="0"/>
        </w:rPr>
        <w:t xml:space="preserve">9. </w:t>
      </w:r>
      <w:r>
        <w:rPr>
          <w:rStyle w:val="28"/>
          <w:rFonts w:hint="eastAsia"/>
          <w:b w:val="0"/>
          <w:bCs w:val="0"/>
        </w:rPr>
        <w:t>纪律和监督</w:t>
      </w:r>
      <w:bookmarkEnd w:id="83"/>
      <w:bookmarkEnd w:id="84"/>
      <w:bookmarkEnd w:id="85"/>
      <w:bookmarkEnd w:id="86"/>
      <w:bookmarkEnd w:id="87"/>
      <w:bookmarkEnd w:id="88"/>
      <w:bookmarkEnd w:id="89"/>
    </w:p>
    <w:p w14:paraId="35EDCFF7">
      <w:pPr>
        <w:pStyle w:val="35"/>
        <w:rPr>
          <w:rFonts w:hint="eastAsia"/>
        </w:rPr>
      </w:pPr>
      <w:bookmarkStart w:id="90" w:name="_Toc507936054"/>
      <w:bookmarkStart w:id="91" w:name="_Toc446434339"/>
      <w:bookmarkStart w:id="92" w:name="_Toc152042357"/>
      <w:bookmarkStart w:id="93" w:name="_Toc144974547"/>
      <w:bookmarkStart w:id="94" w:name="_Toc269310968"/>
      <w:bookmarkStart w:id="95" w:name="_Toc152045580"/>
      <w:bookmarkStart w:id="96" w:name="_Toc507936059"/>
      <w:bookmarkStart w:id="97" w:name="_Toc312072278"/>
      <w:r>
        <w:rPr>
          <w:rFonts w:hint="eastAsia"/>
        </w:rPr>
        <w:t>9.1对</w:t>
      </w:r>
      <w:r>
        <w:rPr>
          <w:rFonts w:hint="eastAsia"/>
          <w:lang w:val="en-US" w:eastAsia="zh-CN"/>
        </w:rPr>
        <w:t>采购</w:t>
      </w:r>
      <w:r>
        <w:rPr>
          <w:rFonts w:hint="eastAsia"/>
        </w:rPr>
        <w:t>人的纪律要求</w:t>
      </w:r>
      <w:bookmarkEnd w:id="90"/>
    </w:p>
    <w:p w14:paraId="1AB0C0C7">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采购人不得泄漏谈判活动中应当保密的情况和资料，不得与供应商串通损害国家利益、社会公共利益和他人合法权益。</w:t>
      </w:r>
    </w:p>
    <w:p w14:paraId="4BC17CAC">
      <w:pPr>
        <w:pStyle w:val="35"/>
        <w:rPr>
          <w:rFonts w:hint="eastAsia"/>
        </w:rPr>
      </w:pPr>
      <w:bookmarkStart w:id="98" w:name="_Toc507936055"/>
      <w:r>
        <w:rPr>
          <w:rFonts w:hint="eastAsia"/>
        </w:rPr>
        <w:t>9.2对</w:t>
      </w:r>
      <w:r>
        <w:rPr>
          <w:rFonts w:hint="eastAsia"/>
          <w:lang w:val="en-US" w:eastAsia="zh-CN"/>
        </w:rPr>
        <w:t>供应商</w:t>
      </w:r>
      <w:r>
        <w:rPr>
          <w:rFonts w:hint="eastAsia"/>
        </w:rPr>
        <w:t>的纪律要求</w:t>
      </w:r>
      <w:bookmarkEnd w:id="98"/>
    </w:p>
    <w:p w14:paraId="7B4411CD">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供应商不得相互串通或者与采购人串通，不得向采购人或者评审委员会成员行贿谋取成交，不得以他人名义参加谈判或者以其他方式弄虚作假骗取成交；供应商不得以任何方式干扰、影响评审工作。</w:t>
      </w:r>
    </w:p>
    <w:p w14:paraId="1ED2F88D">
      <w:pPr>
        <w:pStyle w:val="35"/>
      </w:pPr>
      <w:bookmarkStart w:id="99" w:name="_Toc507936056"/>
      <w:bookmarkStart w:id="100" w:name="_Toc446434336"/>
      <w:bookmarkStart w:id="101" w:name="_Toc312072275"/>
      <w:r>
        <w:t xml:space="preserve">9.3 </w:t>
      </w:r>
      <w:r>
        <w:rPr>
          <w:rFonts w:hint="eastAsia"/>
        </w:rPr>
        <w:t>对评</w:t>
      </w:r>
      <w:r>
        <w:rPr>
          <w:rFonts w:hint="eastAsia"/>
          <w:lang w:val="en-US" w:eastAsia="zh-CN"/>
        </w:rPr>
        <w:t>审</w:t>
      </w:r>
      <w:r>
        <w:rPr>
          <w:rFonts w:hint="eastAsia"/>
        </w:rPr>
        <w:t>委员会成员的纪律要求</w:t>
      </w:r>
      <w:bookmarkEnd w:id="99"/>
      <w:bookmarkEnd w:id="100"/>
      <w:bookmarkEnd w:id="101"/>
    </w:p>
    <w:p w14:paraId="14C3CCC8">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评审委员会成员不得收受他人的财物或者其他好处，不得向他人透漏对响应文件的评审和比较、成交候选人的推荐情况以及与评审有关的其他情况。在评审活动中，评审委员会成员不得擅离职守，影响评审程序正常进行，不得使用第三章“评审办法”没有规定的评审因素和标准进行评审。</w:t>
      </w:r>
    </w:p>
    <w:p w14:paraId="0CF5C443">
      <w:pPr>
        <w:pStyle w:val="35"/>
      </w:pPr>
      <w:bookmarkStart w:id="102" w:name="_Toc507936057"/>
      <w:bookmarkStart w:id="103" w:name="_Toc312072276"/>
      <w:bookmarkStart w:id="104" w:name="_Toc446434337"/>
      <w:r>
        <w:t xml:space="preserve">9.4 </w:t>
      </w:r>
      <w:r>
        <w:rPr>
          <w:rFonts w:hint="eastAsia"/>
        </w:rPr>
        <w:t>对与</w:t>
      </w:r>
      <w:r>
        <w:rPr>
          <w:rFonts w:hint="eastAsia"/>
          <w:lang w:eastAsia="zh-CN"/>
        </w:rPr>
        <w:t>评审</w:t>
      </w:r>
      <w:r>
        <w:rPr>
          <w:rFonts w:hint="eastAsia"/>
        </w:rPr>
        <w:t>活动有关的工作人员的纪律要求</w:t>
      </w:r>
      <w:bookmarkEnd w:id="102"/>
      <w:bookmarkEnd w:id="103"/>
      <w:bookmarkEnd w:id="104"/>
    </w:p>
    <w:p w14:paraId="2F52EFB4">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5C2E7A0D">
      <w:pPr>
        <w:pStyle w:val="35"/>
      </w:pPr>
      <w:bookmarkStart w:id="105" w:name="_Toc507936058"/>
      <w:bookmarkStart w:id="106" w:name="_Toc446434338"/>
      <w:bookmarkStart w:id="107" w:name="_Toc312072277"/>
      <w:r>
        <w:t xml:space="preserve">9.5 </w:t>
      </w:r>
      <w:r>
        <w:rPr>
          <w:rFonts w:hint="eastAsia"/>
        </w:rPr>
        <w:t>投诉</w:t>
      </w:r>
      <w:bookmarkEnd w:id="105"/>
      <w:bookmarkEnd w:id="106"/>
      <w:bookmarkEnd w:id="107"/>
    </w:p>
    <w:p w14:paraId="27171A45">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供应商和其他利害关系人认为本次谈判活动违反法律、法规和规章规定的，有权向市建设行政主管部门和相关监督部门投诉。</w:t>
      </w:r>
    </w:p>
    <w:p w14:paraId="442CBB27">
      <w:pPr>
        <w:pStyle w:val="35"/>
        <w:jc w:val="center"/>
        <w:rPr>
          <w:rStyle w:val="28"/>
          <w:b w:val="0"/>
          <w:bCs w:val="0"/>
        </w:rPr>
      </w:pPr>
      <w:r>
        <w:rPr>
          <w:rStyle w:val="28"/>
          <w:b w:val="0"/>
          <w:bCs w:val="0"/>
        </w:rPr>
        <w:t xml:space="preserve">10. </w:t>
      </w:r>
      <w:r>
        <w:rPr>
          <w:rStyle w:val="28"/>
          <w:rFonts w:hint="eastAsia"/>
          <w:b w:val="0"/>
          <w:bCs w:val="0"/>
        </w:rPr>
        <w:t>需要补充的其他内容</w:t>
      </w:r>
      <w:bookmarkEnd w:id="91"/>
      <w:bookmarkEnd w:id="92"/>
      <w:bookmarkEnd w:id="93"/>
      <w:bookmarkEnd w:id="94"/>
      <w:bookmarkEnd w:id="95"/>
      <w:bookmarkEnd w:id="96"/>
      <w:bookmarkEnd w:id="97"/>
    </w:p>
    <w:p w14:paraId="0B0331EA">
      <w:pPr>
        <w:pStyle w:val="32"/>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08" w:name="_Toc22935"/>
      <w:bookmarkStart w:id="109" w:name="_Toc507936060"/>
      <w:bookmarkStart w:id="110" w:name="_Toc506105866"/>
      <w:r>
        <w:rPr>
          <w:rFonts w:hint="eastAsia" w:ascii="宋体" w:hAnsi="宋体" w:eastAsia="宋体" w:cs="仿宋"/>
          <w:b w:val="0"/>
          <w:bCs/>
          <w:color w:val="000000"/>
          <w:kern w:val="0"/>
          <w:sz w:val="24"/>
          <w:szCs w:val="24"/>
          <w:lang w:val="en-US" w:eastAsia="zh-CN" w:bidi="ar-SA"/>
        </w:rPr>
        <w:t>附：否决响应条件</w:t>
      </w:r>
      <w:bookmarkEnd w:id="108"/>
    </w:p>
    <w:p w14:paraId="5BEBE5F0">
      <w:pPr>
        <w:pStyle w:val="32"/>
        <w:widowControl/>
        <w:spacing w:beforeLines="0" w:line="300" w:lineRule="auto"/>
        <w:jc w:val="both"/>
        <w:rPr>
          <w:rFonts w:hint="eastAsia" w:ascii="宋体" w:hAnsi="宋体" w:eastAsia="宋体" w:cs="仿宋"/>
          <w:b w:val="0"/>
          <w:bCs/>
          <w:color w:val="000000"/>
          <w:kern w:val="0"/>
          <w:sz w:val="24"/>
          <w:szCs w:val="24"/>
          <w:lang w:val="en-US" w:eastAsia="zh-CN" w:bidi="ar-SA"/>
        </w:rPr>
      </w:pPr>
      <w:bookmarkStart w:id="111" w:name="_Toc26414"/>
      <w:r>
        <w:rPr>
          <w:rFonts w:hint="eastAsia" w:ascii="宋体" w:hAnsi="宋体" w:eastAsia="宋体" w:cs="仿宋"/>
          <w:b w:val="0"/>
          <w:bCs/>
          <w:color w:val="000000"/>
          <w:kern w:val="0"/>
          <w:sz w:val="24"/>
          <w:szCs w:val="24"/>
          <w:lang w:val="en-US" w:eastAsia="zh-CN" w:bidi="ar-SA"/>
        </w:rPr>
        <w:t>B0.总则</w:t>
      </w:r>
      <w:bookmarkEnd w:id="111"/>
    </w:p>
    <w:p w14:paraId="5E08DFCC">
      <w:pPr>
        <w:spacing w:line="360" w:lineRule="auto"/>
        <w:ind w:firstLine="480" w:firstLineChars="200"/>
        <w:rPr>
          <w:rFonts w:hint="eastAsia" w:ascii="宋体" w:hAnsi="宋体" w:eastAsia="宋体" w:cs="仿宋"/>
          <w:sz w:val="24"/>
          <w:lang w:val="en-US" w:eastAsia="zh-CN"/>
        </w:rPr>
      </w:pPr>
      <w:bookmarkStart w:id="112" w:name="_Toc6469"/>
      <w:r>
        <w:rPr>
          <w:rFonts w:hint="eastAsia" w:ascii="宋体" w:hAnsi="宋体" w:eastAsia="宋体" w:cs="仿宋"/>
          <w:sz w:val="24"/>
          <w:lang w:val="en-US" w:eastAsia="zh-CN"/>
        </w:rPr>
        <w:t>本附件所集中列示的否决响应条件，是本章“评审办法”的组成部分，是对第二章“谈判须知”和本章正文部分所规定的否决响应条件的总结和补充。</w:t>
      </w:r>
      <w:bookmarkEnd w:id="112"/>
    </w:p>
    <w:p w14:paraId="4335E519">
      <w:pPr>
        <w:spacing w:line="360" w:lineRule="auto"/>
        <w:ind w:firstLine="480" w:firstLineChars="200"/>
        <w:rPr>
          <w:rFonts w:hint="eastAsia" w:ascii="宋体" w:hAnsi="宋体" w:eastAsia="宋体" w:cs="仿宋"/>
          <w:sz w:val="24"/>
          <w:lang w:val="en-US" w:eastAsia="zh-CN"/>
        </w:rPr>
      </w:pPr>
      <w:bookmarkStart w:id="113" w:name="_Toc11807"/>
      <w:r>
        <w:rPr>
          <w:rFonts w:hint="eastAsia" w:ascii="宋体" w:hAnsi="宋体" w:eastAsia="宋体" w:cs="仿宋"/>
          <w:sz w:val="24"/>
          <w:lang w:val="en-US" w:eastAsia="zh-CN"/>
        </w:rPr>
        <w:t>B1.否决响应条件</w:t>
      </w:r>
      <w:bookmarkEnd w:id="113"/>
      <w:r>
        <w:rPr>
          <w:rFonts w:hint="eastAsia" w:ascii="宋体" w:hAnsi="宋体" w:eastAsia="宋体" w:cs="仿宋"/>
          <w:sz w:val="24"/>
          <w:lang w:val="en-US" w:eastAsia="zh-CN"/>
        </w:rPr>
        <w:t xml:space="preserve"> </w:t>
      </w:r>
    </w:p>
    <w:p w14:paraId="5C96724D">
      <w:pPr>
        <w:pStyle w:val="32"/>
        <w:widowControl/>
        <w:spacing w:beforeLines="0" w:line="300" w:lineRule="auto"/>
        <w:jc w:val="both"/>
        <w:rPr>
          <w:rFonts w:hint="eastAsia" w:ascii="宋体" w:hAnsi="宋体" w:eastAsia="宋体" w:cs="仿宋"/>
          <w:b w:val="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w:t>
      </w:r>
      <w:bookmarkStart w:id="114" w:name="_Toc31525"/>
      <w:r>
        <w:rPr>
          <w:rFonts w:hint="eastAsia" w:ascii="宋体" w:hAnsi="宋体" w:eastAsia="宋体" w:cs="仿宋"/>
          <w:b w:val="0"/>
          <w:kern w:val="0"/>
          <w:sz w:val="24"/>
          <w:szCs w:val="24"/>
          <w:lang w:val="en-US" w:eastAsia="zh-CN" w:bidi="ar-SA"/>
        </w:rPr>
        <w:t>供应商或其响应文件有下列情形之一的，否决其响应资格：</w:t>
      </w:r>
      <w:bookmarkEnd w:id="114"/>
    </w:p>
    <w:p w14:paraId="2B53BA5C">
      <w:pPr>
        <w:spacing w:line="360" w:lineRule="auto"/>
        <w:ind w:firstLine="480" w:firstLineChars="200"/>
        <w:rPr>
          <w:rFonts w:hint="eastAsia" w:ascii="宋体" w:hAnsi="宋体" w:eastAsia="宋体" w:cs="仿宋"/>
          <w:sz w:val="24"/>
          <w:lang w:val="en-US" w:eastAsia="zh-CN"/>
        </w:rPr>
      </w:pPr>
      <w:bookmarkStart w:id="115" w:name="_Toc2691"/>
      <w:r>
        <w:rPr>
          <w:rFonts w:hint="eastAsia" w:ascii="宋体" w:hAnsi="宋体" w:eastAsia="宋体" w:cs="仿宋"/>
          <w:sz w:val="24"/>
          <w:lang w:val="en-US" w:eastAsia="zh-CN"/>
        </w:rPr>
        <w:t>B1.1有第二章“谈判须知”规定的任何一种情形的。</w:t>
      </w:r>
      <w:bookmarkEnd w:id="115"/>
    </w:p>
    <w:p w14:paraId="48ACA3C8">
      <w:pPr>
        <w:spacing w:line="360" w:lineRule="auto"/>
        <w:ind w:firstLine="480" w:firstLineChars="200"/>
        <w:rPr>
          <w:rFonts w:hint="eastAsia" w:ascii="宋体" w:hAnsi="宋体" w:eastAsia="宋体" w:cs="仿宋"/>
          <w:sz w:val="24"/>
          <w:lang w:val="en-US" w:eastAsia="zh-CN"/>
        </w:rPr>
      </w:pPr>
      <w:bookmarkStart w:id="116" w:name="_Toc28035"/>
      <w:r>
        <w:rPr>
          <w:rFonts w:hint="eastAsia" w:ascii="宋体" w:hAnsi="宋体" w:eastAsia="宋体" w:cs="仿宋"/>
          <w:sz w:val="24"/>
          <w:lang w:val="en-US" w:eastAsia="zh-CN"/>
        </w:rPr>
        <w:t>B1.2 有串通投标或弄虚作假或其他违法行为的，详见下款：</w:t>
      </w:r>
      <w:bookmarkEnd w:id="116"/>
    </w:p>
    <w:p w14:paraId="453167E7">
      <w:pPr>
        <w:spacing w:line="360" w:lineRule="auto"/>
        <w:ind w:firstLine="480" w:firstLineChars="200"/>
        <w:rPr>
          <w:rFonts w:hint="eastAsia" w:ascii="宋体" w:hAnsi="宋体" w:eastAsia="宋体" w:cs="仿宋"/>
          <w:sz w:val="24"/>
          <w:lang w:val="en-US" w:eastAsia="zh-CN"/>
        </w:rPr>
      </w:pPr>
      <w:bookmarkStart w:id="117" w:name="_Toc29673"/>
      <w:r>
        <w:rPr>
          <w:rFonts w:hint="eastAsia" w:ascii="宋体" w:hAnsi="宋体" w:eastAsia="宋体" w:cs="仿宋"/>
          <w:sz w:val="24"/>
          <w:lang w:val="en-US" w:eastAsia="zh-CN"/>
        </w:rPr>
        <w:t>B1.2.1供应商之间协商谈判报价等响应文件的实质性内容；</w:t>
      </w:r>
      <w:bookmarkEnd w:id="117"/>
    </w:p>
    <w:p w14:paraId="4A8122FE">
      <w:pPr>
        <w:spacing w:line="360" w:lineRule="auto"/>
        <w:ind w:firstLine="480" w:firstLineChars="200"/>
        <w:rPr>
          <w:rFonts w:hint="eastAsia" w:ascii="宋体" w:hAnsi="宋体" w:eastAsia="宋体" w:cs="仿宋"/>
          <w:sz w:val="24"/>
          <w:lang w:val="en-US" w:eastAsia="zh-CN"/>
        </w:rPr>
      </w:pPr>
      <w:bookmarkStart w:id="118" w:name="_Toc27255"/>
      <w:r>
        <w:rPr>
          <w:rFonts w:hint="eastAsia" w:ascii="宋体" w:hAnsi="宋体" w:eastAsia="宋体" w:cs="仿宋"/>
          <w:sz w:val="24"/>
          <w:lang w:val="en-US" w:eastAsia="zh-CN"/>
        </w:rPr>
        <w:t>B1.2.2供应商之间约定成交人；</w:t>
      </w:r>
      <w:bookmarkEnd w:id="118"/>
    </w:p>
    <w:p w14:paraId="39319FA2">
      <w:pPr>
        <w:spacing w:line="360" w:lineRule="auto"/>
        <w:ind w:firstLine="480" w:firstLineChars="200"/>
        <w:rPr>
          <w:rFonts w:hint="eastAsia" w:ascii="宋体" w:hAnsi="宋体" w:eastAsia="宋体" w:cs="仿宋"/>
          <w:sz w:val="24"/>
          <w:lang w:val="en-US" w:eastAsia="zh-CN"/>
        </w:rPr>
      </w:pPr>
      <w:bookmarkStart w:id="119" w:name="_Toc25019"/>
      <w:r>
        <w:rPr>
          <w:rFonts w:hint="eastAsia" w:ascii="宋体" w:hAnsi="宋体" w:eastAsia="宋体" w:cs="仿宋"/>
          <w:sz w:val="24"/>
          <w:lang w:val="en-US" w:eastAsia="zh-CN"/>
        </w:rPr>
        <w:t>B1.2.3供应商之间约定部分供应商放弃响应或者成交；</w:t>
      </w:r>
      <w:bookmarkEnd w:id="119"/>
    </w:p>
    <w:p w14:paraId="373BEC27">
      <w:pPr>
        <w:spacing w:line="360" w:lineRule="auto"/>
        <w:ind w:firstLine="480" w:firstLineChars="200"/>
        <w:rPr>
          <w:rFonts w:hint="eastAsia" w:ascii="宋体" w:hAnsi="宋体" w:eastAsia="宋体" w:cs="仿宋"/>
          <w:sz w:val="24"/>
          <w:lang w:val="en-US" w:eastAsia="zh-CN"/>
        </w:rPr>
      </w:pPr>
      <w:bookmarkStart w:id="120" w:name="_Toc17042"/>
      <w:r>
        <w:rPr>
          <w:rFonts w:hint="eastAsia" w:ascii="宋体" w:hAnsi="宋体" w:eastAsia="宋体" w:cs="仿宋"/>
          <w:sz w:val="24"/>
          <w:lang w:val="en-US" w:eastAsia="zh-CN"/>
        </w:rPr>
        <w:t>B1.2.4属于同一集团、协会、商会等组织成员的供应商按照该组织要求协同响应；</w:t>
      </w:r>
      <w:bookmarkEnd w:id="120"/>
    </w:p>
    <w:p w14:paraId="1777B2BE">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 xml:space="preserve"> </w:t>
      </w:r>
      <w:bookmarkStart w:id="121" w:name="_Toc1494"/>
      <w:r>
        <w:rPr>
          <w:rFonts w:hint="eastAsia" w:ascii="宋体" w:hAnsi="宋体" w:eastAsia="宋体" w:cs="仿宋"/>
          <w:sz w:val="24"/>
          <w:lang w:val="en-US" w:eastAsia="zh-CN"/>
        </w:rPr>
        <w:t>B1.2.5供应商之间为谋取成交或者排斥特定供应商而采取的其他联合行动；</w:t>
      </w:r>
      <w:bookmarkEnd w:id="121"/>
    </w:p>
    <w:p w14:paraId="507F6BDE">
      <w:pPr>
        <w:spacing w:line="360" w:lineRule="auto"/>
        <w:ind w:firstLine="480" w:firstLineChars="200"/>
        <w:rPr>
          <w:rFonts w:hint="eastAsia" w:ascii="宋体" w:hAnsi="宋体" w:eastAsia="宋体" w:cs="仿宋"/>
          <w:sz w:val="24"/>
          <w:lang w:val="en-US" w:eastAsia="zh-CN"/>
        </w:rPr>
      </w:pPr>
      <w:bookmarkStart w:id="122" w:name="_Toc7585"/>
      <w:r>
        <w:rPr>
          <w:rFonts w:hint="eastAsia" w:ascii="宋体" w:hAnsi="宋体" w:eastAsia="宋体" w:cs="仿宋"/>
          <w:sz w:val="24"/>
          <w:lang w:val="en-US" w:eastAsia="zh-CN"/>
        </w:rPr>
        <w:t>B1.2.6不同供应商的响应文件由同一单位或者个人编制；</w:t>
      </w:r>
      <w:bookmarkEnd w:id="122"/>
    </w:p>
    <w:p w14:paraId="5F1AB72A">
      <w:pPr>
        <w:spacing w:line="360" w:lineRule="auto"/>
        <w:ind w:firstLine="480" w:firstLineChars="200"/>
        <w:rPr>
          <w:rFonts w:hint="eastAsia" w:ascii="宋体" w:hAnsi="宋体" w:eastAsia="宋体" w:cs="仿宋"/>
          <w:sz w:val="24"/>
          <w:lang w:val="en-US" w:eastAsia="zh-CN"/>
        </w:rPr>
      </w:pPr>
      <w:bookmarkStart w:id="123" w:name="_Toc14505"/>
      <w:r>
        <w:rPr>
          <w:rFonts w:hint="eastAsia" w:ascii="宋体" w:hAnsi="宋体" w:eastAsia="宋体" w:cs="仿宋"/>
          <w:sz w:val="24"/>
          <w:lang w:val="en-US" w:eastAsia="zh-CN"/>
        </w:rPr>
        <w:t>B1.2.7不同供应商委托同一单位或者个人办理响应事宜；</w:t>
      </w:r>
      <w:bookmarkEnd w:id="123"/>
    </w:p>
    <w:p w14:paraId="101B3822">
      <w:pPr>
        <w:spacing w:line="360" w:lineRule="auto"/>
        <w:ind w:firstLine="480" w:firstLineChars="200"/>
        <w:rPr>
          <w:rFonts w:hint="eastAsia" w:ascii="宋体" w:hAnsi="宋体" w:eastAsia="宋体" w:cs="仿宋"/>
          <w:sz w:val="24"/>
          <w:lang w:val="en-US" w:eastAsia="zh-CN"/>
        </w:rPr>
      </w:pPr>
      <w:bookmarkStart w:id="124" w:name="_Toc27336"/>
      <w:r>
        <w:rPr>
          <w:rFonts w:hint="eastAsia" w:ascii="宋体" w:hAnsi="宋体" w:eastAsia="宋体" w:cs="仿宋"/>
          <w:sz w:val="24"/>
          <w:lang w:val="en-US" w:eastAsia="zh-CN"/>
        </w:rPr>
        <w:t>B1.2.8不同供应商的响应文件异常一致或者响应报价呈规律性差异；</w:t>
      </w:r>
      <w:bookmarkEnd w:id="124"/>
    </w:p>
    <w:p w14:paraId="3BE296F5">
      <w:pPr>
        <w:spacing w:line="360" w:lineRule="auto"/>
        <w:ind w:firstLine="480" w:firstLineChars="200"/>
        <w:rPr>
          <w:rFonts w:hint="eastAsia" w:ascii="宋体" w:hAnsi="宋体" w:eastAsia="宋体" w:cs="仿宋"/>
          <w:sz w:val="24"/>
          <w:lang w:val="en-US" w:eastAsia="zh-CN"/>
        </w:rPr>
      </w:pPr>
      <w:bookmarkStart w:id="125" w:name="_Toc2932"/>
      <w:r>
        <w:rPr>
          <w:rFonts w:hint="eastAsia" w:ascii="宋体" w:hAnsi="宋体" w:eastAsia="宋体" w:cs="仿宋"/>
          <w:sz w:val="24"/>
          <w:lang w:val="en-US" w:eastAsia="zh-CN"/>
        </w:rPr>
        <w:t>B1.2.9不同供应商的响应文件错漏之处一致的；</w:t>
      </w:r>
      <w:bookmarkEnd w:id="125"/>
    </w:p>
    <w:p w14:paraId="10F426E4">
      <w:pPr>
        <w:spacing w:line="360" w:lineRule="auto"/>
        <w:ind w:firstLine="480" w:firstLineChars="200"/>
        <w:rPr>
          <w:rFonts w:hint="eastAsia" w:ascii="宋体" w:hAnsi="宋体" w:eastAsia="宋体" w:cs="仿宋"/>
          <w:sz w:val="24"/>
          <w:lang w:val="en-US" w:eastAsia="zh-CN"/>
        </w:rPr>
      </w:pPr>
      <w:bookmarkStart w:id="126" w:name="_Toc587"/>
      <w:r>
        <w:rPr>
          <w:rFonts w:hint="eastAsia" w:ascii="宋体" w:hAnsi="宋体" w:eastAsia="宋体" w:cs="仿宋"/>
          <w:sz w:val="24"/>
          <w:lang w:val="en-US" w:eastAsia="zh-CN"/>
        </w:rPr>
        <w:t>B1.2.10不同供应商的响应文件相互混装；</w:t>
      </w:r>
      <w:bookmarkEnd w:id="126"/>
    </w:p>
    <w:p w14:paraId="7220A81A">
      <w:pPr>
        <w:spacing w:line="360" w:lineRule="auto"/>
        <w:ind w:firstLine="480" w:firstLineChars="200"/>
        <w:rPr>
          <w:rFonts w:hint="eastAsia" w:ascii="宋体" w:hAnsi="宋体" w:eastAsia="宋体" w:cs="仿宋"/>
          <w:sz w:val="24"/>
          <w:lang w:val="en-US" w:eastAsia="zh-CN"/>
        </w:rPr>
      </w:pPr>
      <w:bookmarkStart w:id="127" w:name="_Toc22881"/>
      <w:r>
        <w:rPr>
          <w:rFonts w:hint="eastAsia" w:ascii="宋体" w:hAnsi="宋体" w:eastAsia="宋体" w:cs="仿宋"/>
          <w:sz w:val="24"/>
          <w:lang w:val="en-US" w:eastAsia="zh-CN"/>
        </w:rPr>
        <w:t>B1.2.11不同供应商的响应文件由同一台电脑编制或者同一台附属设备打印；</w:t>
      </w:r>
      <w:bookmarkEnd w:id="127"/>
    </w:p>
    <w:p w14:paraId="3021DBF1">
      <w:pPr>
        <w:spacing w:line="360" w:lineRule="auto"/>
        <w:ind w:firstLine="480" w:firstLineChars="200"/>
        <w:rPr>
          <w:rFonts w:hint="eastAsia" w:ascii="宋体" w:hAnsi="宋体" w:eastAsia="宋体" w:cs="仿宋"/>
          <w:sz w:val="24"/>
          <w:lang w:val="en-US" w:eastAsia="zh-CN"/>
        </w:rPr>
      </w:pPr>
      <w:bookmarkStart w:id="128" w:name="_Toc3770"/>
      <w:r>
        <w:rPr>
          <w:rFonts w:hint="eastAsia" w:ascii="宋体" w:hAnsi="宋体" w:eastAsia="宋体" w:cs="仿宋"/>
          <w:sz w:val="24"/>
          <w:lang w:val="en-US" w:eastAsia="zh-CN"/>
        </w:rPr>
        <w:t>B1.2.12不同供应商的谈判保证金从同一单位或者个人的账户转出；</w:t>
      </w:r>
      <w:bookmarkEnd w:id="128"/>
    </w:p>
    <w:p w14:paraId="0AF6F0B8">
      <w:pPr>
        <w:spacing w:line="360" w:lineRule="auto"/>
        <w:ind w:firstLine="480" w:firstLineChars="200"/>
        <w:rPr>
          <w:rFonts w:hint="eastAsia" w:ascii="宋体" w:hAnsi="宋体" w:eastAsia="宋体" w:cs="仿宋"/>
          <w:sz w:val="24"/>
          <w:lang w:val="en-US" w:eastAsia="zh-CN"/>
        </w:rPr>
      </w:pPr>
      <w:bookmarkStart w:id="129" w:name="_Toc13968"/>
      <w:r>
        <w:rPr>
          <w:rFonts w:hint="eastAsia" w:ascii="宋体" w:hAnsi="宋体" w:eastAsia="宋体" w:cs="仿宋"/>
          <w:sz w:val="24"/>
          <w:lang w:val="en-US" w:eastAsia="zh-CN"/>
        </w:rPr>
        <w:t>B1.2.13不同供应商使用同一个人或者企业资金交纳响应保证金或者响应保函的反担保的；</w:t>
      </w:r>
      <w:bookmarkEnd w:id="129"/>
    </w:p>
    <w:p w14:paraId="28DD5BDC">
      <w:pPr>
        <w:spacing w:line="360" w:lineRule="auto"/>
        <w:ind w:firstLine="480" w:firstLineChars="200"/>
        <w:rPr>
          <w:rFonts w:hint="eastAsia" w:ascii="宋体" w:hAnsi="宋体" w:eastAsia="宋体" w:cs="仿宋"/>
          <w:sz w:val="24"/>
          <w:lang w:val="en-US" w:eastAsia="zh-CN"/>
        </w:rPr>
      </w:pPr>
      <w:bookmarkStart w:id="130" w:name="_Toc16474"/>
      <w:r>
        <w:rPr>
          <w:rFonts w:hint="eastAsia" w:ascii="宋体" w:hAnsi="宋体" w:eastAsia="宋体" w:cs="仿宋"/>
          <w:sz w:val="24"/>
          <w:lang w:val="en-US" w:eastAsia="zh-CN"/>
        </w:rPr>
        <w:t>B1.2.14使用伪造、变造的许可证件；</w:t>
      </w:r>
      <w:bookmarkEnd w:id="130"/>
    </w:p>
    <w:p w14:paraId="119BCAE3">
      <w:pPr>
        <w:spacing w:line="360" w:lineRule="auto"/>
        <w:ind w:firstLine="480" w:firstLineChars="200"/>
        <w:rPr>
          <w:rFonts w:hint="eastAsia" w:ascii="宋体" w:hAnsi="宋体" w:eastAsia="宋体" w:cs="仿宋"/>
          <w:sz w:val="24"/>
          <w:lang w:val="en-US" w:eastAsia="zh-CN"/>
        </w:rPr>
      </w:pPr>
      <w:bookmarkStart w:id="131" w:name="_Toc21578"/>
      <w:r>
        <w:rPr>
          <w:rFonts w:hint="eastAsia" w:ascii="宋体" w:hAnsi="宋体" w:eastAsia="宋体" w:cs="仿宋"/>
          <w:sz w:val="24"/>
          <w:lang w:val="en-US" w:eastAsia="zh-CN"/>
        </w:rPr>
        <w:t>B1.2.15提供虚假的财务状况或者业绩；</w:t>
      </w:r>
      <w:bookmarkEnd w:id="131"/>
    </w:p>
    <w:p w14:paraId="2158CCFA">
      <w:pPr>
        <w:spacing w:line="360" w:lineRule="auto"/>
        <w:ind w:firstLine="480" w:firstLineChars="200"/>
        <w:rPr>
          <w:rFonts w:hint="eastAsia" w:ascii="宋体" w:hAnsi="宋体" w:eastAsia="宋体" w:cs="仿宋"/>
          <w:sz w:val="24"/>
          <w:lang w:val="en-US" w:eastAsia="zh-CN"/>
        </w:rPr>
      </w:pPr>
      <w:bookmarkStart w:id="132" w:name="_Toc9474"/>
      <w:r>
        <w:rPr>
          <w:rFonts w:hint="eastAsia" w:ascii="宋体" w:hAnsi="宋体" w:eastAsia="宋体" w:cs="仿宋"/>
          <w:sz w:val="24"/>
          <w:lang w:val="en-US" w:eastAsia="zh-CN"/>
        </w:rPr>
        <w:t>B1.2.16提供虚假的信用状况；</w:t>
      </w:r>
      <w:bookmarkEnd w:id="132"/>
    </w:p>
    <w:p w14:paraId="790E170C">
      <w:pPr>
        <w:spacing w:line="360" w:lineRule="auto"/>
        <w:ind w:firstLine="480" w:firstLineChars="200"/>
        <w:rPr>
          <w:rFonts w:hint="eastAsia" w:ascii="宋体" w:hAnsi="宋体" w:eastAsia="宋体" w:cs="仿宋"/>
          <w:sz w:val="24"/>
          <w:lang w:val="en-US" w:eastAsia="zh-CN"/>
        </w:rPr>
      </w:pPr>
      <w:bookmarkStart w:id="133" w:name="_Toc27633"/>
      <w:r>
        <w:rPr>
          <w:rFonts w:hint="eastAsia" w:ascii="宋体" w:hAnsi="宋体" w:eastAsia="宋体" w:cs="仿宋"/>
          <w:sz w:val="24"/>
          <w:lang w:val="en-US" w:eastAsia="zh-CN"/>
        </w:rPr>
        <w:t>B1.2.17其他弄虚作假的行为；</w:t>
      </w:r>
      <w:bookmarkEnd w:id="133"/>
    </w:p>
    <w:p w14:paraId="2C829BD7">
      <w:pPr>
        <w:spacing w:line="360" w:lineRule="auto"/>
        <w:ind w:firstLine="480" w:firstLineChars="200"/>
        <w:rPr>
          <w:rFonts w:hint="eastAsia" w:ascii="宋体" w:hAnsi="宋体" w:eastAsia="宋体" w:cs="仿宋"/>
          <w:sz w:val="24"/>
          <w:lang w:val="en-US" w:eastAsia="zh-CN"/>
        </w:rPr>
      </w:pPr>
      <w:bookmarkStart w:id="134" w:name="_Toc4045"/>
      <w:r>
        <w:rPr>
          <w:rFonts w:hint="eastAsia" w:ascii="宋体" w:hAnsi="宋体" w:eastAsia="宋体" w:cs="仿宋"/>
          <w:sz w:val="24"/>
          <w:lang w:val="en-US" w:eastAsia="zh-CN"/>
        </w:rPr>
        <w:t>B1.2.18采购人在谈判前开启响应文件并将有关信息泄露给其他供应商；</w:t>
      </w:r>
      <w:bookmarkEnd w:id="134"/>
    </w:p>
    <w:p w14:paraId="11175F84">
      <w:pPr>
        <w:spacing w:line="360" w:lineRule="auto"/>
        <w:ind w:firstLine="480" w:firstLineChars="200"/>
        <w:rPr>
          <w:rFonts w:hint="eastAsia" w:ascii="宋体" w:hAnsi="宋体" w:eastAsia="宋体" w:cs="仿宋"/>
          <w:sz w:val="24"/>
          <w:lang w:val="en-US" w:eastAsia="zh-CN"/>
        </w:rPr>
      </w:pPr>
      <w:bookmarkStart w:id="135" w:name="_Toc3700"/>
      <w:r>
        <w:rPr>
          <w:rFonts w:hint="eastAsia" w:ascii="宋体" w:hAnsi="宋体" w:eastAsia="宋体" w:cs="仿宋"/>
          <w:sz w:val="24"/>
          <w:lang w:val="en-US" w:eastAsia="zh-CN"/>
        </w:rPr>
        <w:t>B1.2.19采购人直接或者间接向供应商泄露底价、评审委员会成员等信息；</w:t>
      </w:r>
      <w:bookmarkEnd w:id="135"/>
    </w:p>
    <w:p w14:paraId="3DC6C892">
      <w:pPr>
        <w:spacing w:line="360" w:lineRule="auto"/>
        <w:ind w:firstLine="480" w:firstLineChars="200"/>
        <w:rPr>
          <w:rFonts w:hint="eastAsia" w:ascii="宋体" w:hAnsi="宋体" w:eastAsia="宋体" w:cs="仿宋"/>
          <w:sz w:val="24"/>
          <w:lang w:val="en-US" w:eastAsia="zh-CN"/>
        </w:rPr>
      </w:pPr>
      <w:bookmarkStart w:id="136" w:name="_Toc5952"/>
      <w:r>
        <w:rPr>
          <w:rFonts w:hint="eastAsia" w:ascii="宋体" w:hAnsi="宋体" w:eastAsia="宋体" w:cs="仿宋"/>
          <w:sz w:val="24"/>
          <w:lang w:val="en-US" w:eastAsia="zh-CN"/>
        </w:rPr>
        <w:t>B1.2.20采购人明示或者暗示供应商压低或者抬高报价；</w:t>
      </w:r>
      <w:bookmarkEnd w:id="136"/>
    </w:p>
    <w:p w14:paraId="00E3C560">
      <w:pPr>
        <w:spacing w:line="360" w:lineRule="auto"/>
        <w:ind w:firstLine="480" w:firstLineChars="200"/>
        <w:rPr>
          <w:rFonts w:hint="eastAsia" w:ascii="宋体" w:hAnsi="宋体" w:eastAsia="宋体" w:cs="仿宋"/>
          <w:sz w:val="24"/>
          <w:lang w:val="en-US" w:eastAsia="zh-CN"/>
        </w:rPr>
      </w:pPr>
      <w:bookmarkStart w:id="137" w:name="_Toc25670"/>
      <w:r>
        <w:rPr>
          <w:rFonts w:hint="eastAsia" w:ascii="宋体" w:hAnsi="宋体" w:eastAsia="宋体" w:cs="仿宋"/>
          <w:sz w:val="24"/>
          <w:lang w:val="en-US" w:eastAsia="zh-CN"/>
        </w:rPr>
        <w:t>B1.2.21采购人授意供应商撤换、修改响应文件；</w:t>
      </w:r>
      <w:bookmarkEnd w:id="137"/>
    </w:p>
    <w:p w14:paraId="750255A5">
      <w:pPr>
        <w:spacing w:line="360" w:lineRule="auto"/>
        <w:ind w:firstLine="480" w:firstLineChars="200"/>
        <w:rPr>
          <w:rFonts w:hint="eastAsia" w:ascii="宋体" w:hAnsi="宋体" w:eastAsia="宋体" w:cs="仿宋"/>
          <w:sz w:val="24"/>
          <w:lang w:val="en-US" w:eastAsia="zh-CN"/>
        </w:rPr>
      </w:pPr>
      <w:bookmarkStart w:id="138" w:name="_Toc9700"/>
      <w:r>
        <w:rPr>
          <w:rFonts w:hint="eastAsia" w:ascii="宋体" w:hAnsi="宋体" w:eastAsia="宋体" w:cs="仿宋"/>
          <w:sz w:val="24"/>
          <w:lang w:val="en-US" w:eastAsia="zh-CN"/>
        </w:rPr>
        <w:t>B1.2.22采购人明示或者暗示供应商为特定供应商成交提供方便；</w:t>
      </w:r>
      <w:bookmarkEnd w:id="138"/>
    </w:p>
    <w:p w14:paraId="48BF8550">
      <w:pPr>
        <w:spacing w:line="360" w:lineRule="auto"/>
        <w:ind w:firstLine="480" w:firstLineChars="200"/>
        <w:rPr>
          <w:rFonts w:hint="eastAsia" w:ascii="宋体" w:hAnsi="宋体" w:eastAsia="宋体" w:cs="仿宋"/>
          <w:sz w:val="24"/>
          <w:lang w:val="en-US" w:eastAsia="zh-CN"/>
        </w:rPr>
      </w:pPr>
      <w:bookmarkStart w:id="139" w:name="_Toc2603"/>
      <w:r>
        <w:rPr>
          <w:rFonts w:hint="eastAsia" w:ascii="宋体" w:hAnsi="宋体" w:eastAsia="宋体" w:cs="仿宋"/>
          <w:sz w:val="24"/>
          <w:lang w:val="en-US" w:eastAsia="zh-CN"/>
        </w:rPr>
        <w:t>B1.2.23采购人与供应商为谋求特定供应商成交而采取的其他串通行为；</w:t>
      </w:r>
      <w:bookmarkEnd w:id="139"/>
    </w:p>
    <w:p w14:paraId="3E5EDEC0">
      <w:pPr>
        <w:spacing w:line="360" w:lineRule="auto"/>
        <w:ind w:firstLine="480" w:firstLineChars="200"/>
        <w:rPr>
          <w:rFonts w:hint="eastAsia" w:ascii="宋体" w:hAnsi="宋体" w:eastAsia="宋体" w:cs="仿宋"/>
          <w:sz w:val="24"/>
          <w:lang w:val="en-US" w:eastAsia="zh-CN"/>
        </w:rPr>
      </w:pPr>
      <w:bookmarkStart w:id="140" w:name="_Toc14431"/>
      <w:r>
        <w:rPr>
          <w:rFonts w:hint="eastAsia" w:ascii="宋体" w:hAnsi="宋体" w:eastAsia="宋体" w:cs="仿宋"/>
          <w:sz w:val="24"/>
          <w:lang w:val="en-US" w:eastAsia="zh-CN"/>
        </w:rPr>
        <w:t>B1.2.24评审委员会认定的其他串通情形；</w:t>
      </w:r>
      <w:bookmarkEnd w:id="140"/>
    </w:p>
    <w:p w14:paraId="7D077621">
      <w:pPr>
        <w:spacing w:line="360" w:lineRule="auto"/>
        <w:ind w:firstLine="480" w:firstLineChars="200"/>
        <w:rPr>
          <w:rFonts w:hint="eastAsia" w:ascii="宋体" w:hAnsi="宋体" w:eastAsia="宋体" w:cs="仿宋"/>
          <w:sz w:val="24"/>
          <w:lang w:val="en-US" w:eastAsia="zh-CN"/>
        </w:rPr>
      </w:pPr>
      <w:bookmarkStart w:id="141" w:name="_Toc22876"/>
      <w:r>
        <w:rPr>
          <w:rFonts w:hint="eastAsia" w:ascii="宋体" w:hAnsi="宋体" w:eastAsia="宋体" w:cs="仿宋"/>
          <w:sz w:val="24"/>
          <w:lang w:val="en-US" w:eastAsia="zh-CN"/>
        </w:rPr>
        <w:t>B1.3不按评审委员会要求澄清、说明或补正的。</w:t>
      </w:r>
      <w:bookmarkEnd w:id="141"/>
    </w:p>
    <w:p w14:paraId="2A2E6440">
      <w:pPr>
        <w:spacing w:line="360" w:lineRule="auto"/>
        <w:ind w:firstLine="480" w:firstLineChars="200"/>
        <w:rPr>
          <w:rFonts w:hint="eastAsia" w:ascii="宋体" w:hAnsi="宋体" w:eastAsia="宋体" w:cs="仿宋"/>
          <w:sz w:val="24"/>
          <w:lang w:val="en-US" w:eastAsia="zh-CN"/>
        </w:rPr>
      </w:pPr>
      <w:bookmarkStart w:id="142" w:name="_Toc32136"/>
      <w:r>
        <w:rPr>
          <w:rFonts w:hint="eastAsia" w:ascii="宋体" w:hAnsi="宋体" w:eastAsia="宋体" w:cs="仿宋"/>
          <w:sz w:val="24"/>
          <w:lang w:val="en-US" w:eastAsia="zh-CN"/>
        </w:rPr>
        <w:t>B1.4在形式评审、资格评审（适用于未进行资格预审的）、响应性评审中，评审委员会认定供应商的响应文件不符合评审办法前附表中规定的任何一项评审标准的。</w:t>
      </w:r>
      <w:bookmarkEnd w:id="142"/>
    </w:p>
    <w:p w14:paraId="66A59B01">
      <w:pPr>
        <w:spacing w:line="360" w:lineRule="auto"/>
        <w:ind w:firstLine="480" w:firstLineChars="200"/>
        <w:rPr>
          <w:rFonts w:hint="eastAsia" w:ascii="宋体" w:hAnsi="宋体" w:eastAsia="宋体" w:cs="仿宋"/>
          <w:sz w:val="24"/>
          <w:lang w:val="en-US" w:eastAsia="zh-CN"/>
        </w:rPr>
      </w:pPr>
      <w:bookmarkStart w:id="143" w:name="_Toc7628"/>
      <w:r>
        <w:rPr>
          <w:rFonts w:hint="eastAsia" w:ascii="宋体" w:hAnsi="宋体" w:eastAsia="宋体" w:cs="仿宋"/>
          <w:sz w:val="24"/>
          <w:lang w:val="en-US" w:eastAsia="zh-CN"/>
        </w:rPr>
        <w:t>B1.5当供应商资格预审申请文件的内容发生重大变化时，其在响应文件中更新的资料，未能通过资格评审的（适用于已进行资格预审的）。</w:t>
      </w:r>
      <w:bookmarkEnd w:id="143"/>
    </w:p>
    <w:p w14:paraId="3F1BA95F">
      <w:pPr>
        <w:spacing w:line="360" w:lineRule="auto"/>
        <w:ind w:firstLine="480" w:firstLineChars="200"/>
        <w:rPr>
          <w:rFonts w:hint="eastAsia" w:ascii="宋体" w:hAnsi="宋体" w:eastAsia="宋体" w:cs="仿宋"/>
          <w:sz w:val="24"/>
          <w:lang w:val="en-US" w:eastAsia="zh-CN"/>
        </w:rPr>
      </w:pPr>
      <w:bookmarkStart w:id="144" w:name="_Toc28698"/>
      <w:r>
        <w:rPr>
          <w:rFonts w:hint="eastAsia" w:ascii="宋体" w:hAnsi="宋体" w:eastAsia="宋体" w:cs="仿宋"/>
          <w:sz w:val="24"/>
          <w:lang w:val="en-US" w:eastAsia="zh-CN"/>
        </w:rPr>
        <w:t>B1.6在技术和资信评审中，评审委员会认定供应商的响应未能通过此项评审的。</w:t>
      </w:r>
      <w:bookmarkEnd w:id="144"/>
    </w:p>
    <w:p w14:paraId="6125637F">
      <w:pPr>
        <w:spacing w:line="360" w:lineRule="auto"/>
        <w:ind w:firstLine="480" w:firstLineChars="200"/>
        <w:rPr>
          <w:rFonts w:hint="eastAsia" w:ascii="宋体" w:hAnsi="宋体" w:eastAsia="宋体" w:cs="仿宋"/>
          <w:sz w:val="24"/>
          <w:lang w:val="en-US" w:eastAsia="zh-CN"/>
        </w:rPr>
      </w:pPr>
      <w:bookmarkStart w:id="145" w:name="_Toc5012"/>
      <w:r>
        <w:rPr>
          <w:rFonts w:hint="eastAsia" w:ascii="宋体" w:hAnsi="宋体" w:eastAsia="宋体" w:cs="仿宋"/>
          <w:sz w:val="24"/>
          <w:lang w:val="en-US" w:eastAsia="zh-CN"/>
        </w:rPr>
        <w:t>B1.7评审委员会认定供应商以低于成本报价竞争的。</w:t>
      </w:r>
      <w:bookmarkEnd w:id="145"/>
    </w:p>
    <w:p w14:paraId="7EA1F0C5">
      <w:pPr>
        <w:pStyle w:val="38"/>
        <w:rPr>
          <w:color w:val="auto"/>
        </w:rPr>
      </w:pPr>
      <w:bookmarkStart w:id="146" w:name="_Toc32487"/>
      <w:r>
        <w:rPr>
          <w:rFonts w:hint="eastAsia"/>
          <w:color w:val="auto"/>
        </w:rPr>
        <w:t xml:space="preserve">第三章  </w:t>
      </w:r>
      <w:r>
        <w:rPr>
          <w:rFonts w:hint="eastAsia"/>
          <w:color w:val="auto"/>
          <w:lang w:eastAsia="zh-CN"/>
        </w:rPr>
        <w:t>评审</w:t>
      </w:r>
      <w:r>
        <w:rPr>
          <w:rFonts w:hint="eastAsia"/>
          <w:color w:val="auto"/>
        </w:rPr>
        <w:t>办法</w:t>
      </w:r>
      <w:bookmarkEnd w:id="109"/>
      <w:bookmarkEnd w:id="110"/>
      <w:bookmarkEnd w:id="146"/>
    </w:p>
    <w:p w14:paraId="337F67D1">
      <w:pPr>
        <w:tabs>
          <w:tab w:val="left" w:pos="6237"/>
        </w:tabs>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为规范</w:t>
      </w:r>
      <w:r>
        <w:rPr>
          <w:rFonts w:hint="eastAsia" w:cs="仿宋"/>
          <w:bCs/>
          <w:color w:val="auto"/>
          <w:kern w:val="0"/>
          <w:sz w:val="24"/>
          <w:lang w:val="en-US" w:eastAsia="zh-CN"/>
        </w:rPr>
        <w:t>谈判</w:t>
      </w:r>
      <w:r>
        <w:rPr>
          <w:rFonts w:hint="eastAsia" w:ascii="宋体" w:hAnsi="宋体" w:cs="仿宋"/>
          <w:bCs/>
          <w:color w:val="auto"/>
          <w:kern w:val="0"/>
          <w:sz w:val="24"/>
        </w:rPr>
        <w:t>工作，制定本办法。</w:t>
      </w:r>
    </w:p>
    <w:p w14:paraId="136AA6E3">
      <w:pPr>
        <w:spacing w:line="360" w:lineRule="auto"/>
        <w:rPr>
          <w:rFonts w:ascii="宋体" w:hAnsi="宋体" w:cs="仿宋"/>
          <w:color w:val="auto"/>
          <w:kern w:val="0"/>
          <w:sz w:val="24"/>
        </w:rPr>
      </w:pPr>
      <w:r>
        <w:rPr>
          <w:rFonts w:hint="eastAsia" w:ascii="宋体" w:hAnsi="宋体" w:cs="仿宋"/>
          <w:color w:val="auto"/>
          <w:kern w:val="0"/>
          <w:sz w:val="24"/>
        </w:rPr>
        <w:t>一、评审方法</w:t>
      </w:r>
    </w:p>
    <w:p w14:paraId="0A0769B1">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按</w:t>
      </w:r>
      <w:r>
        <w:rPr>
          <w:rFonts w:hint="eastAsia" w:cs="仿宋"/>
          <w:bCs/>
          <w:color w:val="auto"/>
          <w:kern w:val="0"/>
          <w:sz w:val="24"/>
          <w:lang w:val="en-US" w:eastAsia="zh-CN"/>
        </w:rPr>
        <w:t>综合评估法</w:t>
      </w:r>
      <w:r>
        <w:rPr>
          <w:rFonts w:hint="eastAsia" w:ascii="宋体" w:hAnsi="宋体" w:cs="仿宋"/>
          <w:bCs/>
          <w:color w:val="auto"/>
          <w:kern w:val="0"/>
          <w:sz w:val="24"/>
        </w:rPr>
        <w:t>进行</w:t>
      </w:r>
      <w:r>
        <w:rPr>
          <w:rFonts w:hint="eastAsia" w:cs="仿宋"/>
          <w:bCs/>
          <w:color w:val="auto"/>
          <w:kern w:val="0"/>
          <w:sz w:val="24"/>
          <w:lang w:eastAsia="zh-CN"/>
        </w:rPr>
        <w:t>评审</w:t>
      </w:r>
      <w:r>
        <w:rPr>
          <w:rFonts w:hint="eastAsia" w:ascii="宋体" w:hAnsi="宋体" w:cs="仿宋"/>
          <w:bCs/>
          <w:color w:val="auto"/>
          <w:kern w:val="0"/>
          <w:sz w:val="24"/>
        </w:rPr>
        <w:t>。</w:t>
      </w:r>
    </w:p>
    <w:p w14:paraId="7F681BF5">
      <w:pPr>
        <w:spacing w:line="360" w:lineRule="auto"/>
        <w:rPr>
          <w:rFonts w:ascii="宋体" w:hAnsi="宋体" w:cs="仿宋"/>
          <w:color w:val="auto"/>
          <w:kern w:val="0"/>
          <w:sz w:val="24"/>
        </w:rPr>
      </w:pPr>
      <w:r>
        <w:rPr>
          <w:rFonts w:hint="eastAsia" w:ascii="宋体" w:hAnsi="宋体" w:cs="仿宋"/>
          <w:bCs/>
          <w:color w:val="auto"/>
          <w:kern w:val="0"/>
          <w:sz w:val="24"/>
        </w:rPr>
        <w:t>二、</w:t>
      </w:r>
      <w:r>
        <w:rPr>
          <w:rFonts w:hint="eastAsia" w:cs="仿宋"/>
          <w:bCs/>
          <w:color w:val="auto"/>
          <w:kern w:val="0"/>
          <w:sz w:val="24"/>
          <w:lang w:eastAsia="zh-CN"/>
        </w:rPr>
        <w:t>评审</w:t>
      </w:r>
      <w:r>
        <w:rPr>
          <w:rFonts w:hint="eastAsia" w:ascii="宋体" w:hAnsi="宋体" w:cs="仿宋"/>
          <w:bCs/>
          <w:color w:val="auto"/>
          <w:kern w:val="0"/>
          <w:sz w:val="24"/>
        </w:rPr>
        <w:t>原则</w:t>
      </w:r>
    </w:p>
    <w:p w14:paraId="42A0A017">
      <w:pPr>
        <w:spacing w:line="360" w:lineRule="auto"/>
        <w:ind w:firstLine="480" w:firstLineChars="200"/>
        <w:rPr>
          <w:rFonts w:ascii="宋体" w:hAnsi="宋体" w:cs="仿宋"/>
          <w:color w:val="auto"/>
          <w:kern w:val="0"/>
          <w:sz w:val="24"/>
        </w:rPr>
      </w:pPr>
      <w:r>
        <w:rPr>
          <w:rFonts w:hint="eastAsia" w:cs="仿宋"/>
          <w:bCs/>
          <w:color w:val="auto"/>
          <w:kern w:val="0"/>
          <w:sz w:val="24"/>
          <w:lang w:eastAsia="zh-CN"/>
        </w:rPr>
        <w:t>评审</w:t>
      </w:r>
      <w:r>
        <w:rPr>
          <w:rFonts w:hint="eastAsia" w:ascii="宋体" w:hAnsi="宋体" w:cs="仿宋"/>
          <w:bCs/>
          <w:color w:val="auto"/>
          <w:kern w:val="0"/>
          <w:sz w:val="24"/>
        </w:rPr>
        <w:t>遵循公平、公正、科学、择优的原则。</w:t>
      </w:r>
    </w:p>
    <w:p w14:paraId="7A618E0A">
      <w:pPr>
        <w:spacing w:line="360" w:lineRule="auto"/>
        <w:rPr>
          <w:rFonts w:ascii="宋体" w:hAnsi="宋体" w:cs="仿宋"/>
          <w:color w:val="auto"/>
          <w:kern w:val="0"/>
          <w:sz w:val="24"/>
        </w:rPr>
      </w:pPr>
      <w:r>
        <w:rPr>
          <w:rFonts w:hint="eastAsia" w:ascii="宋体" w:hAnsi="宋体" w:cs="仿宋"/>
          <w:bCs/>
          <w:color w:val="auto"/>
          <w:kern w:val="0"/>
          <w:sz w:val="24"/>
        </w:rPr>
        <w:t>三、</w:t>
      </w:r>
      <w:r>
        <w:rPr>
          <w:rFonts w:hint="eastAsia" w:cs="仿宋"/>
          <w:bCs/>
          <w:color w:val="auto"/>
          <w:kern w:val="0"/>
          <w:sz w:val="24"/>
          <w:lang w:eastAsia="zh-CN"/>
        </w:rPr>
        <w:t>评审</w:t>
      </w:r>
      <w:r>
        <w:rPr>
          <w:rFonts w:hint="eastAsia" w:ascii="宋体" w:hAnsi="宋体" w:cs="仿宋"/>
          <w:bCs/>
          <w:color w:val="auto"/>
          <w:kern w:val="0"/>
          <w:sz w:val="24"/>
        </w:rPr>
        <w:t>组织及服务</w:t>
      </w:r>
    </w:p>
    <w:p w14:paraId="184BCFBB">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1、为做好</w:t>
      </w:r>
      <w:r>
        <w:rPr>
          <w:rFonts w:hint="eastAsia" w:cs="仿宋"/>
          <w:bCs/>
          <w:color w:val="auto"/>
          <w:kern w:val="0"/>
          <w:sz w:val="24"/>
          <w:lang w:eastAsia="zh-CN"/>
        </w:rPr>
        <w:t>评审</w:t>
      </w:r>
      <w:r>
        <w:rPr>
          <w:rFonts w:hint="eastAsia" w:ascii="宋体" w:hAnsi="宋体" w:cs="仿宋"/>
          <w:bCs/>
          <w:color w:val="auto"/>
          <w:kern w:val="0"/>
          <w:sz w:val="24"/>
        </w:rPr>
        <w:t>工作，成立</w:t>
      </w:r>
      <w:r>
        <w:rPr>
          <w:rFonts w:hint="eastAsia" w:cs="仿宋"/>
          <w:bCs/>
          <w:color w:val="auto"/>
          <w:kern w:val="0"/>
          <w:sz w:val="24"/>
          <w:lang w:eastAsia="zh-CN"/>
        </w:rPr>
        <w:t>评审</w:t>
      </w:r>
      <w:r>
        <w:rPr>
          <w:rFonts w:hint="eastAsia" w:ascii="宋体" w:hAnsi="宋体" w:cs="仿宋"/>
          <w:bCs/>
          <w:color w:val="auto"/>
          <w:kern w:val="0"/>
          <w:sz w:val="24"/>
        </w:rPr>
        <w:t>委员会和工作小组。</w:t>
      </w:r>
    </w:p>
    <w:p w14:paraId="17813E9A">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w:t>
      </w:r>
      <w:r>
        <w:rPr>
          <w:rFonts w:hint="eastAsia" w:cs="仿宋"/>
          <w:bCs/>
          <w:color w:val="auto"/>
          <w:kern w:val="0"/>
          <w:sz w:val="24"/>
          <w:lang w:eastAsia="zh-CN"/>
        </w:rPr>
        <w:t>评审</w:t>
      </w:r>
      <w:r>
        <w:rPr>
          <w:rFonts w:hint="eastAsia" w:ascii="宋体" w:hAnsi="宋体" w:cs="仿宋"/>
          <w:bCs/>
          <w:color w:val="auto"/>
          <w:kern w:val="0"/>
          <w:sz w:val="24"/>
        </w:rPr>
        <w:t>委员会</w:t>
      </w:r>
    </w:p>
    <w:p w14:paraId="4620689C">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2.1</w:t>
      </w:r>
      <w:r>
        <w:rPr>
          <w:rFonts w:hint="eastAsia" w:cs="仿宋"/>
          <w:bCs/>
          <w:color w:val="auto"/>
          <w:kern w:val="0"/>
          <w:sz w:val="24"/>
          <w:lang w:eastAsia="zh-CN"/>
        </w:rPr>
        <w:t>评审</w:t>
      </w:r>
      <w:r>
        <w:rPr>
          <w:rFonts w:hint="eastAsia" w:ascii="宋体" w:hAnsi="宋体" w:cs="仿宋"/>
          <w:bCs/>
          <w:color w:val="auto"/>
          <w:kern w:val="0"/>
          <w:sz w:val="24"/>
        </w:rPr>
        <w:t>委员会由</w:t>
      </w:r>
      <w:r>
        <w:rPr>
          <w:rFonts w:hint="eastAsia" w:cs="仿宋"/>
          <w:bCs/>
          <w:color w:val="auto"/>
          <w:kern w:val="0"/>
          <w:sz w:val="24"/>
          <w:lang w:val="en-US" w:eastAsia="zh-CN"/>
        </w:rPr>
        <w:t>采购</w:t>
      </w:r>
      <w:r>
        <w:rPr>
          <w:rFonts w:hint="eastAsia" w:ascii="宋体" w:hAnsi="宋体" w:cs="仿宋"/>
          <w:bCs/>
          <w:color w:val="auto"/>
          <w:kern w:val="0"/>
          <w:sz w:val="24"/>
        </w:rPr>
        <w:t>人依法组建，</w:t>
      </w:r>
      <w:r>
        <w:rPr>
          <w:rFonts w:hint="eastAsia" w:cs="仿宋"/>
          <w:bCs/>
          <w:color w:val="auto"/>
          <w:kern w:val="0"/>
          <w:sz w:val="24"/>
          <w:lang w:eastAsia="zh-CN"/>
        </w:rPr>
        <w:t>评审</w:t>
      </w:r>
      <w:r>
        <w:rPr>
          <w:rFonts w:hint="eastAsia" w:ascii="宋体" w:hAnsi="宋体" w:cs="仿宋"/>
          <w:bCs/>
          <w:color w:val="auto"/>
          <w:kern w:val="0"/>
          <w:sz w:val="24"/>
        </w:rPr>
        <w:t>委员会成员由</w:t>
      </w:r>
      <w:r>
        <w:rPr>
          <w:rFonts w:hint="eastAsia" w:cs="仿宋"/>
          <w:bCs/>
          <w:color w:val="auto"/>
          <w:kern w:val="0"/>
          <w:sz w:val="24"/>
          <w:lang w:eastAsia="zh-CN"/>
        </w:rPr>
        <w:t>采购人</w:t>
      </w:r>
      <w:r>
        <w:rPr>
          <w:rFonts w:hint="eastAsia" w:ascii="宋体" w:hAnsi="宋体" w:cs="仿宋"/>
          <w:bCs/>
          <w:color w:val="auto"/>
          <w:kern w:val="0"/>
          <w:sz w:val="24"/>
        </w:rPr>
        <w:t>代表及熟悉相关业务的有关技术、经济等方面的专家组成。</w:t>
      </w:r>
    </w:p>
    <w:p w14:paraId="3A0222A6">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2.2</w:t>
      </w:r>
      <w:r>
        <w:rPr>
          <w:rFonts w:hint="eastAsia" w:cs="仿宋"/>
          <w:bCs/>
          <w:color w:val="auto"/>
          <w:kern w:val="0"/>
          <w:sz w:val="24"/>
          <w:lang w:eastAsia="zh-CN"/>
        </w:rPr>
        <w:t>评审</w:t>
      </w:r>
      <w:r>
        <w:rPr>
          <w:rFonts w:hint="eastAsia" w:ascii="宋体" w:hAnsi="宋体" w:cs="仿宋"/>
          <w:bCs/>
          <w:color w:val="auto"/>
          <w:kern w:val="0"/>
          <w:sz w:val="24"/>
        </w:rPr>
        <w:t>委员会成员为</w:t>
      </w:r>
      <w:r>
        <w:rPr>
          <w:rFonts w:hint="eastAsia" w:cs="仿宋"/>
          <w:bCs/>
          <w:color w:val="auto"/>
          <w:kern w:val="0"/>
          <w:sz w:val="24"/>
          <w:lang w:val="en-US" w:eastAsia="zh-CN"/>
        </w:rPr>
        <w:t>3</w:t>
      </w:r>
      <w:r>
        <w:rPr>
          <w:rFonts w:hint="eastAsia" w:ascii="宋体" w:hAnsi="宋体" w:cs="仿宋"/>
          <w:bCs/>
          <w:color w:val="auto"/>
          <w:kern w:val="0"/>
          <w:sz w:val="24"/>
        </w:rPr>
        <w:t>人及以上单数。</w:t>
      </w:r>
    </w:p>
    <w:p w14:paraId="558A4E25">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2.3</w:t>
      </w:r>
      <w:r>
        <w:rPr>
          <w:rFonts w:hint="eastAsia" w:cs="仿宋"/>
          <w:bCs/>
          <w:color w:val="auto"/>
          <w:kern w:val="0"/>
          <w:sz w:val="24"/>
          <w:lang w:eastAsia="zh-CN"/>
        </w:rPr>
        <w:t>评审</w:t>
      </w:r>
      <w:r>
        <w:rPr>
          <w:rFonts w:hint="eastAsia" w:ascii="宋体" w:hAnsi="宋体" w:cs="仿宋"/>
          <w:bCs/>
          <w:color w:val="auto"/>
          <w:kern w:val="0"/>
          <w:sz w:val="24"/>
        </w:rPr>
        <w:t>工作由</w:t>
      </w:r>
      <w:r>
        <w:rPr>
          <w:rFonts w:hint="eastAsia" w:cs="仿宋"/>
          <w:bCs/>
          <w:color w:val="auto"/>
          <w:kern w:val="0"/>
          <w:sz w:val="24"/>
          <w:lang w:eastAsia="zh-CN"/>
        </w:rPr>
        <w:t>评审</w:t>
      </w:r>
      <w:r>
        <w:rPr>
          <w:rFonts w:hint="eastAsia" w:ascii="宋体" w:hAnsi="宋体" w:cs="仿宋"/>
          <w:bCs/>
          <w:color w:val="auto"/>
          <w:kern w:val="0"/>
          <w:sz w:val="24"/>
        </w:rPr>
        <w:t>委员会负责。</w:t>
      </w:r>
    </w:p>
    <w:p w14:paraId="142BE41B">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3、工作小组</w:t>
      </w:r>
    </w:p>
    <w:p w14:paraId="5001531C">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3.1由</w:t>
      </w:r>
      <w:r>
        <w:rPr>
          <w:rFonts w:hint="eastAsia" w:cs="仿宋"/>
          <w:bCs/>
          <w:color w:val="auto"/>
          <w:kern w:val="0"/>
          <w:sz w:val="24"/>
          <w:lang w:eastAsia="zh-CN"/>
        </w:rPr>
        <w:t>采购人</w:t>
      </w:r>
      <w:r>
        <w:rPr>
          <w:rFonts w:hint="eastAsia" w:ascii="宋体" w:hAnsi="宋体" w:cs="仿宋"/>
          <w:bCs/>
          <w:color w:val="auto"/>
          <w:kern w:val="0"/>
          <w:sz w:val="24"/>
        </w:rPr>
        <w:t>组成工作小组，为</w:t>
      </w:r>
      <w:r>
        <w:rPr>
          <w:rFonts w:hint="eastAsia" w:cs="仿宋"/>
          <w:bCs/>
          <w:color w:val="auto"/>
          <w:kern w:val="0"/>
          <w:sz w:val="24"/>
          <w:lang w:eastAsia="zh-CN"/>
        </w:rPr>
        <w:t>评审</w:t>
      </w:r>
      <w:r>
        <w:rPr>
          <w:rFonts w:hint="eastAsia" w:ascii="宋体" w:hAnsi="宋体" w:cs="仿宋"/>
          <w:bCs/>
          <w:color w:val="auto"/>
          <w:kern w:val="0"/>
          <w:sz w:val="24"/>
        </w:rPr>
        <w:t>委员会服务。</w:t>
      </w:r>
    </w:p>
    <w:p w14:paraId="4380D1D6">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3.2工作小组承担保管</w:t>
      </w:r>
      <w:r>
        <w:rPr>
          <w:rFonts w:hint="eastAsia" w:cs="仿宋"/>
          <w:bCs/>
          <w:color w:val="auto"/>
          <w:kern w:val="0"/>
          <w:sz w:val="24"/>
          <w:lang w:val="en-US" w:eastAsia="zh-CN"/>
        </w:rPr>
        <w:t>谈判</w:t>
      </w:r>
      <w:r>
        <w:rPr>
          <w:rFonts w:hint="eastAsia" w:ascii="宋体" w:hAnsi="宋体" w:cs="仿宋"/>
          <w:bCs/>
          <w:color w:val="auto"/>
          <w:kern w:val="0"/>
          <w:sz w:val="24"/>
        </w:rPr>
        <w:t>文件、</w:t>
      </w:r>
      <w:r>
        <w:rPr>
          <w:rFonts w:hint="eastAsia" w:cs="仿宋"/>
          <w:bCs/>
          <w:color w:val="auto"/>
          <w:kern w:val="0"/>
          <w:sz w:val="24"/>
          <w:lang w:val="en-US" w:eastAsia="zh-CN"/>
        </w:rPr>
        <w:t>响应</w:t>
      </w:r>
      <w:r>
        <w:rPr>
          <w:rFonts w:hint="eastAsia" w:ascii="宋体" w:hAnsi="宋体" w:cs="仿宋"/>
          <w:bCs/>
          <w:color w:val="auto"/>
          <w:kern w:val="0"/>
          <w:sz w:val="24"/>
        </w:rPr>
        <w:t>文件、发放</w:t>
      </w:r>
      <w:r>
        <w:rPr>
          <w:rFonts w:hint="eastAsia" w:cs="仿宋"/>
          <w:bCs/>
          <w:color w:val="auto"/>
          <w:kern w:val="0"/>
          <w:sz w:val="24"/>
          <w:lang w:eastAsia="zh-CN"/>
        </w:rPr>
        <w:t>评审</w:t>
      </w:r>
      <w:r>
        <w:rPr>
          <w:rFonts w:hint="eastAsia" w:ascii="宋体" w:hAnsi="宋体" w:cs="仿宋"/>
          <w:bCs/>
          <w:color w:val="auto"/>
          <w:kern w:val="0"/>
          <w:sz w:val="24"/>
        </w:rPr>
        <w:t>资料、</w:t>
      </w:r>
      <w:r>
        <w:rPr>
          <w:rFonts w:hint="eastAsia" w:cs="仿宋"/>
          <w:bCs/>
          <w:color w:val="auto"/>
          <w:kern w:val="0"/>
          <w:sz w:val="24"/>
          <w:lang w:val="en-US" w:eastAsia="zh-CN"/>
        </w:rPr>
        <w:t>响应</w:t>
      </w:r>
      <w:r>
        <w:rPr>
          <w:rFonts w:hint="eastAsia" w:ascii="宋体" w:hAnsi="宋体" w:cs="仿宋"/>
          <w:bCs/>
          <w:color w:val="auto"/>
          <w:kern w:val="0"/>
          <w:sz w:val="24"/>
        </w:rPr>
        <w:t>文件摘录汇总、基础数据对比及会议服务。</w:t>
      </w:r>
    </w:p>
    <w:p w14:paraId="615EEF62">
      <w:pPr>
        <w:spacing w:line="360" w:lineRule="auto"/>
        <w:rPr>
          <w:rFonts w:ascii="宋体" w:hAnsi="宋体" w:cs="仿宋"/>
          <w:bCs/>
          <w:color w:val="auto"/>
          <w:kern w:val="0"/>
          <w:sz w:val="24"/>
        </w:rPr>
      </w:pPr>
      <w:r>
        <w:rPr>
          <w:rFonts w:hint="eastAsia" w:ascii="宋体" w:hAnsi="宋体" w:cs="仿宋"/>
          <w:bCs/>
          <w:color w:val="auto"/>
          <w:kern w:val="0"/>
          <w:sz w:val="24"/>
        </w:rPr>
        <w:t>四、</w:t>
      </w:r>
      <w:r>
        <w:rPr>
          <w:rFonts w:hint="eastAsia" w:cs="仿宋"/>
          <w:bCs/>
          <w:color w:val="auto"/>
          <w:kern w:val="0"/>
          <w:sz w:val="24"/>
          <w:lang w:eastAsia="zh-CN"/>
        </w:rPr>
        <w:t>评审</w:t>
      </w:r>
      <w:r>
        <w:rPr>
          <w:rFonts w:hint="eastAsia" w:ascii="宋体" w:hAnsi="宋体" w:cs="仿宋"/>
          <w:bCs/>
          <w:color w:val="auto"/>
          <w:kern w:val="0"/>
          <w:sz w:val="24"/>
        </w:rPr>
        <w:t>程序及内容</w:t>
      </w:r>
    </w:p>
    <w:p w14:paraId="49CF9F62">
      <w:pPr>
        <w:spacing w:line="360" w:lineRule="auto"/>
        <w:ind w:firstLine="420" w:firstLineChars="200"/>
        <w:rPr>
          <w:rFonts w:hint="eastAsia" w:cs="仿宋"/>
          <w:bCs/>
          <w:color w:val="auto"/>
        </w:rPr>
      </w:pPr>
      <w:r>
        <w:rPr>
          <w:rFonts w:hint="eastAsia" w:cs="仿宋"/>
          <w:bCs/>
          <w:color w:val="auto"/>
        </w:rPr>
        <w:t>1、</w:t>
      </w:r>
      <w:r>
        <w:rPr>
          <w:rFonts w:hint="eastAsia" w:cs="仿宋"/>
          <w:bCs/>
          <w:color w:val="auto"/>
          <w:lang w:val="en-US" w:eastAsia="zh-CN"/>
        </w:rPr>
        <w:t>评审</w:t>
      </w:r>
      <w:r>
        <w:rPr>
          <w:rFonts w:hint="eastAsia" w:cs="仿宋"/>
          <w:bCs/>
          <w:color w:val="auto"/>
        </w:rPr>
        <w:t>方法：由资格审查、综合</w:t>
      </w:r>
      <w:r>
        <w:rPr>
          <w:rFonts w:hint="eastAsia" w:cs="仿宋"/>
          <w:bCs/>
          <w:color w:val="auto"/>
          <w:lang w:val="en-US" w:eastAsia="zh-CN"/>
        </w:rPr>
        <w:t>评估</w:t>
      </w:r>
      <w:r>
        <w:rPr>
          <w:rFonts w:hint="eastAsia" w:cs="仿宋"/>
          <w:bCs/>
          <w:color w:val="auto"/>
        </w:rPr>
        <w:t>两部分。</w:t>
      </w:r>
    </w:p>
    <w:p w14:paraId="551F2600">
      <w:pPr>
        <w:spacing w:line="360" w:lineRule="auto"/>
        <w:ind w:firstLine="420" w:firstLineChars="200"/>
        <w:rPr>
          <w:rFonts w:cs="仿宋"/>
          <w:bCs/>
          <w:color w:val="auto"/>
        </w:rPr>
      </w:pPr>
      <w:r>
        <w:rPr>
          <w:rFonts w:hint="eastAsia" w:cs="仿宋"/>
          <w:bCs/>
          <w:color w:val="auto"/>
        </w:rPr>
        <w:t>2、资格审查：按对</w:t>
      </w:r>
      <w:r>
        <w:rPr>
          <w:rFonts w:hint="eastAsia" w:cs="仿宋"/>
          <w:bCs/>
          <w:color w:val="auto"/>
          <w:lang w:val="en-US" w:eastAsia="zh-CN"/>
        </w:rPr>
        <w:t>供应商</w:t>
      </w:r>
      <w:r>
        <w:rPr>
          <w:rFonts w:hint="eastAsia" w:cs="仿宋"/>
          <w:bCs/>
          <w:color w:val="auto"/>
        </w:rPr>
        <w:t>的资格要求、缴纳保证金等情况进行</w:t>
      </w:r>
      <w:r>
        <w:rPr>
          <w:rFonts w:hint="eastAsia" w:cs="仿宋"/>
          <w:bCs/>
          <w:color w:val="auto"/>
          <w:lang w:val="en-US" w:eastAsia="zh-CN"/>
        </w:rPr>
        <w:t>评审</w:t>
      </w:r>
      <w:r>
        <w:rPr>
          <w:rFonts w:hint="eastAsia" w:cs="仿宋"/>
          <w:bCs/>
          <w:color w:val="auto"/>
        </w:rPr>
        <w:t>。详见《资格审查表》。</w:t>
      </w:r>
    </w:p>
    <w:p w14:paraId="575792FC">
      <w:pPr>
        <w:spacing w:line="360" w:lineRule="auto"/>
        <w:ind w:firstLine="420" w:firstLineChars="200"/>
        <w:rPr>
          <w:rFonts w:ascii="宋体" w:hAnsi="宋体" w:cs="仿宋"/>
          <w:bCs/>
          <w:color w:val="auto"/>
          <w:kern w:val="0"/>
          <w:sz w:val="24"/>
        </w:rPr>
      </w:pPr>
      <w:r>
        <w:rPr>
          <w:rFonts w:hint="eastAsia" w:cs="仿宋"/>
          <w:bCs/>
          <w:color w:val="auto"/>
        </w:rPr>
        <w:t>3、综合</w:t>
      </w:r>
      <w:r>
        <w:rPr>
          <w:rFonts w:hint="eastAsia" w:cs="仿宋"/>
          <w:bCs/>
          <w:color w:val="auto"/>
          <w:lang w:val="en-US" w:eastAsia="zh-CN"/>
        </w:rPr>
        <w:t>评估</w:t>
      </w:r>
      <w:r>
        <w:rPr>
          <w:rFonts w:hint="eastAsia" w:cs="仿宋"/>
          <w:bCs/>
          <w:color w:val="auto"/>
        </w:rPr>
        <w:t>：通过资格审查后，根据</w:t>
      </w:r>
      <w:r>
        <w:rPr>
          <w:rFonts w:hint="eastAsia" w:cs="仿宋"/>
          <w:bCs/>
          <w:color w:val="auto"/>
          <w:lang w:val="en-US" w:eastAsia="zh-CN"/>
        </w:rPr>
        <w:t>供应商</w:t>
      </w:r>
      <w:r>
        <w:rPr>
          <w:rFonts w:hint="eastAsia" w:cs="仿宋"/>
          <w:bCs/>
          <w:color w:val="auto"/>
        </w:rPr>
        <w:t>的商务、技术和价格等进行综合</w:t>
      </w:r>
      <w:r>
        <w:rPr>
          <w:rFonts w:hint="eastAsia" w:cs="仿宋"/>
          <w:bCs/>
          <w:color w:val="auto"/>
          <w:lang w:val="en-US" w:eastAsia="zh-CN"/>
        </w:rPr>
        <w:t>评估</w:t>
      </w:r>
      <w:r>
        <w:rPr>
          <w:rFonts w:hint="eastAsia" w:cs="仿宋"/>
          <w:bCs/>
          <w:color w:val="auto"/>
        </w:rPr>
        <w:t>。</w:t>
      </w:r>
    </w:p>
    <w:p w14:paraId="767C5672">
      <w:pPr>
        <w:spacing w:line="360" w:lineRule="auto"/>
        <w:rPr>
          <w:rFonts w:ascii="宋体" w:hAnsi="宋体" w:cs="仿宋"/>
          <w:bCs/>
          <w:color w:val="auto"/>
          <w:kern w:val="0"/>
          <w:sz w:val="24"/>
        </w:rPr>
      </w:pPr>
      <w:r>
        <w:rPr>
          <w:rFonts w:hint="eastAsia" w:ascii="宋体" w:hAnsi="宋体" w:cs="仿宋"/>
          <w:bCs/>
          <w:color w:val="auto"/>
          <w:kern w:val="0"/>
          <w:sz w:val="24"/>
        </w:rPr>
        <w:t>五、</w:t>
      </w:r>
      <w:r>
        <w:rPr>
          <w:rFonts w:hint="eastAsia" w:cs="仿宋"/>
          <w:bCs/>
          <w:color w:val="auto"/>
          <w:kern w:val="0"/>
          <w:sz w:val="24"/>
          <w:lang w:eastAsia="zh-CN"/>
        </w:rPr>
        <w:t>评审</w:t>
      </w:r>
      <w:r>
        <w:rPr>
          <w:rFonts w:hint="eastAsia" w:ascii="宋体" w:hAnsi="宋体" w:cs="仿宋"/>
          <w:bCs/>
          <w:color w:val="auto"/>
          <w:kern w:val="0"/>
          <w:sz w:val="24"/>
        </w:rPr>
        <w:t>报告</w:t>
      </w:r>
    </w:p>
    <w:p w14:paraId="74E4C66E">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1、</w:t>
      </w:r>
      <w:r>
        <w:rPr>
          <w:rFonts w:hint="eastAsia" w:cs="仿宋"/>
          <w:bCs/>
          <w:color w:val="auto"/>
          <w:kern w:val="0"/>
          <w:sz w:val="24"/>
          <w:lang w:eastAsia="zh-CN"/>
        </w:rPr>
        <w:t>评审</w:t>
      </w:r>
      <w:r>
        <w:rPr>
          <w:rFonts w:hint="eastAsia" w:ascii="宋体" w:hAnsi="宋体" w:cs="仿宋"/>
          <w:bCs/>
          <w:color w:val="auto"/>
          <w:kern w:val="0"/>
          <w:sz w:val="24"/>
        </w:rPr>
        <w:t>委员会根据</w:t>
      </w:r>
      <w:r>
        <w:rPr>
          <w:rFonts w:hint="eastAsia" w:cs="仿宋"/>
          <w:bCs/>
          <w:color w:val="auto"/>
          <w:kern w:val="0"/>
          <w:sz w:val="24"/>
          <w:lang w:eastAsia="zh-CN"/>
        </w:rPr>
        <w:t>评审</w:t>
      </w:r>
      <w:r>
        <w:rPr>
          <w:rFonts w:hint="eastAsia" w:ascii="宋体" w:hAnsi="宋体" w:cs="仿宋"/>
          <w:bCs/>
          <w:color w:val="auto"/>
          <w:kern w:val="0"/>
          <w:sz w:val="24"/>
        </w:rPr>
        <w:t>情况和结果，向</w:t>
      </w:r>
      <w:r>
        <w:rPr>
          <w:rFonts w:hint="eastAsia" w:cs="仿宋"/>
          <w:bCs/>
          <w:color w:val="auto"/>
          <w:kern w:val="0"/>
          <w:sz w:val="24"/>
          <w:lang w:eastAsia="zh-CN"/>
        </w:rPr>
        <w:t>采购人</w:t>
      </w:r>
      <w:r>
        <w:rPr>
          <w:rFonts w:hint="eastAsia" w:ascii="宋体" w:hAnsi="宋体" w:cs="仿宋"/>
          <w:bCs/>
          <w:color w:val="auto"/>
          <w:kern w:val="0"/>
          <w:sz w:val="24"/>
        </w:rPr>
        <w:t>提交</w:t>
      </w:r>
      <w:r>
        <w:rPr>
          <w:rFonts w:hint="eastAsia" w:cs="仿宋"/>
          <w:bCs/>
          <w:color w:val="auto"/>
          <w:kern w:val="0"/>
          <w:sz w:val="24"/>
          <w:lang w:eastAsia="zh-CN"/>
        </w:rPr>
        <w:t>评审</w:t>
      </w:r>
      <w:r>
        <w:rPr>
          <w:rFonts w:hint="eastAsia" w:ascii="宋体" w:hAnsi="宋体" w:cs="仿宋"/>
          <w:bCs/>
          <w:color w:val="auto"/>
          <w:kern w:val="0"/>
          <w:sz w:val="24"/>
        </w:rPr>
        <w:t>报告。</w:t>
      </w:r>
      <w:r>
        <w:rPr>
          <w:rFonts w:hint="eastAsia" w:cs="仿宋"/>
          <w:bCs/>
          <w:color w:val="auto"/>
          <w:kern w:val="0"/>
          <w:sz w:val="24"/>
          <w:lang w:eastAsia="zh-CN"/>
        </w:rPr>
        <w:t>评审</w:t>
      </w:r>
      <w:r>
        <w:rPr>
          <w:rFonts w:hint="eastAsia" w:ascii="宋体" w:hAnsi="宋体" w:cs="仿宋"/>
          <w:bCs/>
          <w:color w:val="auto"/>
          <w:kern w:val="0"/>
          <w:sz w:val="24"/>
        </w:rPr>
        <w:t>报告由</w:t>
      </w:r>
      <w:r>
        <w:rPr>
          <w:rFonts w:hint="eastAsia" w:cs="仿宋"/>
          <w:bCs/>
          <w:color w:val="auto"/>
          <w:kern w:val="0"/>
          <w:sz w:val="24"/>
          <w:lang w:eastAsia="zh-CN"/>
        </w:rPr>
        <w:t>评审</w:t>
      </w:r>
      <w:r>
        <w:rPr>
          <w:rFonts w:hint="eastAsia" w:ascii="宋体" w:hAnsi="宋体" w:cs="仿宋"/>
          <w:bCs/>
          <w:color w:val="auto"/>
          <w:kern w:val="0"/>
          <w:sz w:val="24"/>
        </w:rPr>
        <w:t>委员会起草，</w:t>
      </w:r>
      <w:r>
        <w:rPr>
          <w:rFonts w:hint="eastAsia" w:cs="仿宋"/>
          <w:bCs/>
          <w:color w:val="auto"/>
          <w:kern w:val="0"/>
          <w:sz w:val="24"/>
          <w:lang w:eastAsia="zh-CN"/>
        </w:rPr>
        <w:t>评审</w:t>
      </w:r>
      <w:r>
        <w:rPr>
          <w:rFonts w:hint="eastAsia" w:ascii="宋体" w:hAnsi="宋体" w:cs="仿宋"/>
          <w:bCs/>
          <w:color w:val="auto"/>
          <w:kern w:val="0"/>
          <w:sz w:val="24"/>
        </w:rPr>
        <w:t>委员会全体成员应在</w:t>
      </w:r>
      <w:r>
        <w:rPr>
          <w:rFonts w:hint="eastAsia" w:cs="仿宋"/>
          <w:bCs/>
          <w:color w:val="auto"/>
          <w:kern w:val="0"/>
          <w:sz w:val="24"/>
          <w:lang w:eastAsia="zh-CN"/>
        </w:rPr>
        <w:t>评审</w:t>
      </w:r>
      <w:r>
        <w:rPr>
          <w:rFonts w:hint="eastAsia" w:ascii="宋体" w:hAnsi="宋体" w:cs="仿宋"/>
          <w:bCs/>
          <w:color w:val="auto"/>
          <w:kern w:val="0"/>
          <w:sz w:val="24"/>
        </w:rPr>
        <w:t>报告上签字确认，</w:t>
      </w:r>
      <w:r>
        <w:rPr>
          <w:rFonts w:hint="eastAsia" w:cs="仿宋"/>
          <w:bCs/>
          <w:color w:val="auto"/>
          <w:kern w:val="0"/>
          <w:sz w:val="24"/>
          <w:lang w:eastAsia="zh-CN"/>
        </w:rPr>
        <w:t>评审</w:t>
      </w:r>
      <w:r>
        <w:rPr>
          <w:rFonts w:hint="eastAsia" w:ascii="宋体" w:hAnsi="宋体" w:cs="仿宋"/>
          <w:bCs/>
          <w:color w:val="auto"/>
          <w:kern w:val="0"/>
          <w:sz w:val="24"/>
        </w:rPr>
        <w:t>专家如有保留意见可以在</w:t>
      </w:r>
      <w:r>
        <w:rPr>
          <w:rFonts w:hint="eastAsia" w:cs="仿宋"/>
          <w:bCs/>
          <w:color w:val="auto"/>
          <w:kern w:val="0"/>
          <w:sz w:val="24"/>
          <w:lang w:eastAsia="zh-CN"/>
        </w:rPr>
        <w:t>评审</w:t>
      </w:r>
      <w:r>
        <w:rPr>
          <w:rFonts w:hint="eastAsia" w:ascii="宋体" w:hAnsi="宋体" w:cs="仿宋"/>
          <w:bCs/>
          <w:color w:val="auto"/>
          <w:kern w:val="0"/>
          <w:sz w:val="24"/>
        </w:rPr>
        <w:t>报告中阐明。</w:t>
      </w:r>
    </w:p>
    <w:p w14:paraId="5C6D267A">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w:t>
      </w:r>
      <w:r>
        <w:rPr>
          <w:rFonts w:hint="eastAsia" w:cs="仿宋"/>
          <w:bCs/>
          <w:color w:val="auto"/>
          <w:kern w:val="0"/>
          <w:sz w:val="24"/>
          <w:lang w:eastAsia="zh-CN"/>
        </w:rPr>
        <w:t>评审</w:t>
      </w:r>
      <w:r>
        <w:rPr>
          <w:rFonts w:hint="eastAsia" w:ascii="宋体" w:hAnsi="宋体" w:cs="仿宋"/>
          <w:bCs/>
          <w:color w:val="auto"/>
          <w:kern w:val="0"/>
          <w:sz w:val="24"/>
        </w:rPr>
        <w:t>委员会在</w:t>
      </w:r>
      <w:r>
        <w:rPr>
          <w:rFonts w:hint="eastAsia" w:cs="仿宋"/>
          <w:bCs/>
          <w:color w:val="auto"/>
          <w:kern w:val="0"/>
          <w:sz w:val="24"/>
          <w:lang w:eastAsia="zh-CN"/>
        </w:rPr>
        <w:t>评审</w:t>
      </w:r>
      <w:r>
        <w:rPr>
          <w:rFonts w:hint="eastAsia" w:ascii="宋体" w:hAnsi="宋体" w:cs="仿宋"/>
          <w:bCs/>
          <w:color w:val="auto"/>
          <w:kern w:val="0"/>
          <w:sz w:val="24"/>
        </w:rPr>
        <w:t>报告中根据</w:t>
      </w:r>
      <w:r>
        <w:rPr>
          <w:rFonts w:hint="eastAsia" w:cs="仿宋"/>
          <w:bCs/>
          <w:color w:val="auto"/>
          <w:kern w:val="0"/>
          <w:sz w:val="24"/>
          <w:lang w:val="en-US" w:eastAsia="zh-CN"/>
        </w:rPr>
        <w:t>综合得分高低</w:t>
      </w:r>
      <w:r>
        <w:rPr>
          <w:rFonts w:hint="eastAsia" w:ascii="宋体" w:hAnsi="宋体" w:cs="仿宋"/>
          <w:bCs/>
          <w:color w:val="auto"/>
          <w:kern w:val="0"/>
          <w:sz w:val="24"/>
        </w:rPr>
        <w:t>排序推荐前一至</w:t>
      </w:r>
      <w:r>
        <w:rPr>
          <w:rFonts w:hint="eastAsia" w:cs="仿宋"/>
          <w:bCs/>
          <w:color w:val="auto"/>
          <w:kern w:val="0"/>
          <w:sz w:val="24"/>
          <w:lang w:val="en-US" w:eastAsia="zh-CN"/>
        </w:rPr>
        <w:t>二</w:t>
      </w:r>
      <w:r>
        <w:rPr>
          <w:rFonts w:hint="eastAsia" w:ascii="宋体" w:hAnsi="宋体" w:cs="仿宋"/>
          <w:bCs/>
          <w:color w:val="auto"/>
          <w:kern w:val="0"/>
          <w:sz w:val="24"/>
        </w:rPr>
        <w:t>名为</w:t>
      </w:r>
      <w:r>
        <w:rPr>
          <w:rFonts w:hint="eastAsia" w:cs="仿宋"/>
          <w:bCs/>
          <w:color w:val="auto"/>
          <w:kern w:val="0"/>
          <w:sz w:val="24"/>
          <w:lang w:val="en-US" w:eastAsia="zh-CN"/>
        </w:rPr>
        <w:t>成交</w:t>
      </w:r>
      <w:r>
        <w:rPr>
          <w:rFonts w:hint="eastAsia" w:ascii="宋体" w:hAnsi="宋体" w:cs="仿宋"/>
          <w:bCs/>
          <w:color w:val="auto"/>
          <w:kern w:val="0"/>
          <w:sz w:val="24"/>
        </w:rPr>
        <w:t>候选人。</w:t>
      </w:r>
    </w:p>
    <w:p w14:paraId="2FE45367">
      <w:pPr>
        <w:jc w:val="center"/>
        <w:rPr>
          <w:b/>
          <w:sz w:val="30"/>
          <w:szCs w:val="30"/>
        </w:rPr>
      </w:pPr>
      <w:r>
        <w:rPr>
          <w:rFonts w:hint="eastAsia"/>
          <w:b/>
          <w:sz w:val="30"/>
          <w:szCs w:val="30"/>
        </w:rPr>
        <w:t>资格审查表</w:t>
      </w:r>
    </w:p>
    <w:p w14:paraId="0D3CBFBE">
      <w:pPr>
        <w:ind w:left="-708" w:leftChars="-337" w:firstLine="630" w:firstLineChars="300"/>
        <w:jc w:val="center"/>
        <w:rPr>
          <w:szCs w:val="21"/>
        </w:rPr>
      </w:pPr>
      <w:r>
        <w:rPr>
          <w:rFonts w:hint="eastAsia"/>
          <w:szCs w:val="21"/>
        </w:rPr>
        <w:t>编号：                 谈判时间：  年 月 日      审查日期：</w:t>
      </w:r>
    </w:p>
    <w:tbl>
      <w:tblPr>
        <w:tblStyle w:val="16"/>
        <w:tblW w:w="0" w:type="auto"/>
        <w:tblInd w:w="0" w:type="dxa"/>
        <w:tblLayout w:type="fixed"/>
        <w:tblCellMar>
          <w:top w:w="0" w:type="dxa"/>
          <w:left w:w="108" w:type="dxa"/>
          <w:bottom w:w="0" w:type="dxa"/>
          <w:right w:w="108" w:type="dxa"/>
        </w:tblCellMar>
      </w:tblPr>
      <w:tblGrid>
        <w:gridCol w:w="577"/>
        <w:gridCol w:w="1284"/>
        <w:gridCol w:w="1710"/>
        <w:gridCol w:w="1002"/>
        <w:gridCol w:w="436"/>
        <w:gridCol w:w="858"/>
        <w:gridCol w:w="1710"/>
        <w:gridCol w:w="2277"/>
      </w:tblGrid>
      <w:tr w14:paraId="0A064FFA">
        <w:tblPrEx>
          <w:tblCellMar>
            <w:top w:w="0" w:type="dxa"/>
            <w:left w:w="108" w:type="dxa"/>
            <w:bottom w:w="0" w:type="dxa"/>
            <w:right w:w="108" w:type="dxa"/>
          </w:tblCellMar>
        </w:tblPrEx>
        <w:trPr>
          <w:trHeight w:val="300" w:hRule="atLeast"/>
        </w:trPr>
        <w:tc>
          <w:tcPr>
            <w:tcW w:w="1861" w:type="dxa"/>
            <w:gridSpan w:val="2"/>
            <w:tcBorders>
              <w:top w:val="single" w:color="auto" w:sz="8" w:space="0"/>
              <w:left w:val="single" w:color="auto" w:sz="8" w:space="0"/>
              <w:bottom w:val="single" w:color="auto" w:sz="8" w:space="0"/>
              <w:right w:val="single" w:color="000000" w:sz="8" w:space="0"/>
            </w:tcBorders>
            <w:noWrap/>
            <w:vAlign w:val="center"/>
          </w:tcPr>
          <w:p w14:paraId="5C11449A">
            <w:pPr>
              <w:jc w:val="center"/>
              <w:rPr>
                <w:szCs w:val="21"/>
              </w:rPr>
            </w:pPr>
            <w:r>
              <w:rPr>
                <w:rFonts w:hint="eastAsia"/>
                <w:szCs w:val="21"/>
              </w:rPr>
              <w:t>谈判名称</w:t>
            </w:r>
          </w:p>
        </w:tc>
        <w:tc>
          <w:tcPr>
            <w:tcW w:w="7993" w:type="dxa"/>
            <w:gridSpan w:val="6"/>
            <w:tcBorders>
              <w:top w:val="single" w:color="auto" w:sz="8" w:space="0"/>
              <w:left w:val="nil"/>
              <w:bottom w:val="single" w:color="auto" w:sz="8" w:space="0"/>
              <w:right w:val="single" w:color="000000" w:sz="8" w:space="0"/>
            </w:tcBorders>
            <w:noWrap/>
            <w:vAlign w:val="center"/>
          </w:tcPr>
          <w:p w14:paraId="089C1BAB">
            <w:pPr>
              <w:jc w:val="center"/>
              <w:rPr>
                <w:szCs w:val="21"/>
              </w:rPr>
            </w:pPr>
          </w:p>
        </w:tc>
      </w:tr>
      <w:tr w14:paraId="676D39DA">
        <w:tblPrEx>
          <w:tblCellMar>
            <w:top w:w="0" w:type="dxa"/>
            <w:left w:w="108" w:type="dxa"/>
            <w:bottom w:w="0" w:type="dxa"/>
            <w:right w:w="108" w:type="dxa"/>
          </w:tblCellMar>
        </w:tblPrEx>
        <w:trPr>
          <w:trHeight w:val="300" w:hRule="atLeast"/>
        </w:trPr>
        <w:tc>
          <w:tcPr>
            <w:tcW w:w="1861" w:type="dxa"/>
            <w:gridSpan w:val="2"/>
            <w:tcBorders>
              <w:top w:val="single" w:color="auto" w:sz="8" w:space="0"/>
              <w:left w:val="single" w:color="auto" w:sz="8" w:space="0"/>
              <w:bottom w:val="single" w:color="auto" w:sz="8" w:space="0"/>
              <w:right w:val="single" w:color="000000" w:sz="8" w:space="0"/>
            </w:tcBorders>
            <w:noWrap/>
            <w:vAlign w:val="center"/>
          </w:tcPr>
          <w:p w14:paraId="59DDCE87">
            <w:pPr>
              <w:jc w:val="center"/>
              <w:rPr>
                <w:szCs w:val="21"/>
              </w:rPr>
            </w:pPr>
            <w:r>
              <w:rPr>
                <w:rFonts w:hint="eastAsia"/>
                <w:szCs w:val="21"/>
              </w:rPr>
              <w:t>谈判内容</w:t>
            </w:r>
          </w:p>
        </w:tc>
        <w:tc>
          <w:tcPr>
            <w:tcW w:w="7993" w:type="dxa"/>
            <w:gridSpan w:val="6"/>
            <w:tcBorders>
              <w:top w:val="single" w:color="auto" w:sz="8" w:space="0"/>
              <w:left w:val="nil"/>
              <w:bottom w:val="single" w:color="auto" w:sz="8" w:space="0"/>
              <w:right w:val="single" w:color="000000" w:sz="8" w:space="0"/>
            </w:tcBorders>
            <w:noWrap/>
            <w:vAlign w:val="center"/>
          </w:tcPr>
          <w:p w14:paraId="446ED4C0">
            <w:pPr>
              <w:jc w:val="center"/>
              <w:rPr>
                <w:szCs w:val="21"/>
              </w:rPr>
            </w:pPr>
          </w:p>
        </w:tc>
      </w:tr>
      <w:tr w14:paraId="7B115B80">
        <w:tblPrEx>
          <w:tblCellMar>
            <w:top w:w="0" w:type="dxa"/>
            <w:left w:w="108" w:type="dxa"/>
            <w:bottom w:w="0" w:type="dxa"/>
            <w:right w:w="108" w:type="dxa"/>
          </w:tblCellMar>
        </w:tblPrEx>
        <w:trPr>
          <w:trHeight w:val="300" w:hRule="atLeast"/>
        </w:trPr>
        <w:tc>
          <w:tcPr>
            <w:tcW w:w="577" w:type="dxa"/>
            <w:tcBorders>
              <w:top w:val="nil"/>
              <w:left w:val="single" w:color="auto" w:sz="8" w:space="0"/>
              <w:bottom w:val="single" w:color="auto" w:sz="8" w:space="0"/>
              <w:right w:val="single" w:color="auto" w:sz="8" w:space="0"/>
            </w:tcBorders>
            <w:noWrap/>
            <w:vAlign w:val="center"/>
          </w:tcPr>
          <w:p w14:paraId="520A71E9">
            <w:pPr>
              <w:jc w:val="center"/>
              <w:rPr>
                <w:szCs w:val="21"/>
              </w:rPr>
            </w:pPr>
            <w:r>
              <w:rPr>
                <w:rFonts w:hint="eastAsia"/>
                <w:szCs w:val="21"/>
              </w:rPr>
              <w:t>序号</w:t>
            </w:r>
          </w:p>
        </w:tc>
        <w:tc>
          <w:tcPr>
            <w:tcW w:w="2994" w:type="dxa"/>
            <w:gridSpan w:val="2"/>
            <w:tcBorders>
              <w:top w:val="single" w:color="auto" w:sz="8" w:space="0"/>
              <w:left w:val="nil"/>
              <w:bottom w:val="single" w:color="auto" w:sz="8" w:space="0"/>
              <w:right w:val="single" w:color="000000" w:sz="8" w:space="0"/>
            </w:tcBorders>
            <w:noWrap/>
            <w:vAlign w:val="center"/>
          </w:tcPr>
          <w:p w14:paraId="6C5A3351">
            <w:pPr>
              <w:jc w:val="center"/>
              <w:rPr>
                <w:szCs w:val="21"/>
              </w:rPr>
            </w:pPr>
            <w:r>
              <w:rPr>
                <w:rFonts w:hint="eastAsia"/>
                <w:szCs w:val="21"/>
              </w:rPr>
              <w:t>报名单位</w:t>
            </w:r>
          </w:p>
        </w:tc>
        <w:tc>
          <w:tcPr>
            <w:tcW w:w="1002" w:type="dxa"/>
            <w:tcBorders>
              <w:top w:val="nil"/>
              <w:left w:val="nil"/>
              <w:bottom w:val="single" w:color="auto" w:sz="8" w:space="0"/>
              <w:right w:val="single" w:color="auto" w:sz="8" w:space="0"/>
            </w:tcBorders>
            <w:noWrap/>
            <w:vAlign w:val="center"/>
          </w:tcPr>
          <w:p w14:paraId="21B43A26">
            <w:pPr>
              <w:jc w:val="center"/>
              <w:rPr>
                <w:szCs w:val="21"/>
              </w:rPr>
            </w:pPr>
            <w:r>
              <w:rPr>
                <w:rFonts w:hint="eastAsia"/>
                <w:szCs w:val="21"/>
              </w:rPr>
              <w:t>注册资金</w:t>
            </w:r>
          </w:p>
        </w:tc>
        <w:tc>
          <w:tcPr>
            <w:tcW w:w="436" w:type="dxa"/>
            <w:tcBorders>
              <w:top w:val="nil"/>
              <w:left w:val="nil"/>
              <w:bottom w:val="single" w:color="auto" w:sz="8" w:space="0"/>
              <w:right w:val="single" w:color="auto" w:sz="8" w:space="0"/>
            </w:tcBorders>
            <w:vAlign w:val="center"/>
          </w:tcPr>
          <w:p w14:paraId="1A2187C9">
            <w:pPr>
              <w:jc w:val="center"/>
              <w:rPr>
                <w:szCs w:val="21"/>
              </w:rPr>
            </w:pPr>
            <w:r>
              <w:rPr>
                <w:rFonts w:hint="eastAsia"/>
                <w:szCs w:val="21"/>
              </w:rPr>
              <w:t>业绩</w:t>
            </w:r>
          </w:p>
        </w:tc>
        <w:tc>
          <w:tcPr>
            <w:tcW w:w="858" w:type="dxa"/>
            <w:tcBorders>
              <w:top w:val="nil"/>
              <w:left w:val="nil"/>
              <w:bottom w:val="single" w:color="auto" w:sz="8" w:space="0"/>
              <w:right w:val="single" w:color="auto" w:sz="8" w:space="0"/>
            </w:tcBorders>
            <w:noWrap/>
            <w:vAlign w:val="center"/>
          </w:tcPr>
          <w:p w14:paraId="7833B783">
            <w:pPr>
              <w:jc w:val="center"/>
              <w:rPr>
                <w:szCs w:val="21"/>
              </w:rPr>
            </w:pPr>
            <w:r>
              <w:rPr>
                <w:rFonts w:hint="eastAsia"/>
                <w:szCs w:val="21"/>
              </w:rPr>
              <w:t>联系人</w:t>
            </w:r>
          </w:p>
        </w:tc>
        <w:tc>
          <w:tcPr>
            <w:tcW w:w="1710" w:type="dxa"/>
            <w:tcBorders>
              <w:top w:val="nil"/>
              <w:left w:val="nil"/>
              <w:bottom w:val="single" w:color="auto" w:sz="8" w:space="0"/>
              <w:right w:val="single" w:color="auto" w:sz="8" w:space="0"/>
            </w:tcBorders>
            <w:noWrap/>
            <w:vAlign w:val="center"/>
          </w:tcPr>
          <w:p w14:paraId="35457B9C">
            <w:pPr>
              <w:jc w:val="center"/>
              <w:rPr>
                <w:szCs w:val="21"/>
              </w:rPr>
            </w:pPr>
            <w:r>
              <w:rPr>
                <w:rFonts w:hint="eastAsia"/>
                <w:szCs w:val="21"/>
              </w:rPr>
              <w:t>联系电话</w:t>
            </w:r>
          </w:p>
        </w:tc>
        <w:tc>
          <w:tcPr>
            <w:tcW w:w="2277" w:type="dxa"/>
            <w:tcBorders>
              <w:top w:val="nil"/>
              <w:left w:val="nil"/>
              <w:bottom w:val="single" w:color="auto" w:sz="8" w:space="0"/>
              <w:right w:val="single" w:color="auto" w:sz="8" w:space="0"/>
            </w:tcBorders>
            <w:noWrap/>
            <w:vAlign w:val="center"/>
          </w:tcPr>
          <w:p w14:paraId="5D0F666D">
            <w:pPr>
              <w:jc w:val="center"/>
              <w:rPr>
                <w:szCs w:val="21"/>
              </w:rPr>
            </w:pPr>
            <w:r>
              <w:rPr>
                <w:rFonts w:hint="eastAsia"/>
                <w:szCs w:val="21"/>
              </w:rPr>
              <w:t>包号</w:t>
            </w:r>
          </w:p>
        </w:tc>
      </w:tr>
      <w:tr w14:paraId="58C855D9">
        <w:tblPrEx>
          <w:tblCellMar>
            <w:top w:w="0" w:type="dxa"/>
            <w:left w:w="108" w:type="dxa"/>
            <w:bottom w:w="0" w:type="dxa"/>
            <w:right w:w="108" w:type="dxa"/>
          </w:tblCellMar>
        </w:tblPrEx>
        <w:trPr>
          <w:trHeight w:val="300" w:hRule="atLeast"/>
        </w:trPr>
        <w:tc>
          <w:tcPr>
            <w:tcW w:w="577" w:type="dxa"/>
            <w:tcBorders>
              <w:top w:val="nil"/>
              <w:left w:val="single" w:color="auto" w:sz="8" w:space="0"/>
              <w:bottom w:val="single" w:color="auto" w:sz="8" w:space="0"/>
              <w:right w:val="single" w:color="auto" w:sz="8" w:space="0"/>
            </w:tcBorders>
            <w:noWrap/>
            <w:vAlign w:val="center"/>
          </w:tcPr>
          <w:p w14:paraId="42C1F86A">
            <w:pPr>
              <w:jc w:val="center"/>
              <w:rPr>
                <w:szCs w:val="21"/>
              </w:rPr>
            </w:pPr>
            <w:r>
              <w:rPr>
                <w:rFonts w:hint="eastAsia"/>
                <w:szCs w:val="21"/>
              </w:rPr>
              <w:t>1</w:t>
            </w:r>
          </w:p>
        </w:tc>
        <w:tc>
          <w:tcPr>
            <w:tcW w:w="2994" w:type="dxa"/>
            <w:gridSpan w:val="2"/>
            <w:tcBorders>
              <w:top w:val="single" w:color="auto" w:sz="8" w:space="0"/>
              <w:left w:val="nil"/>
              <w:bottom w:val="single" w:color="auto" w:sz="8" w:space="0"/>
              <w:right w:val="single" w:color="000000" w:sz="8" w:space="0"/>
            </w:tcBorders>
            <w:noWrap/>
            <w:vAlign w:val="center"/>
          </w:tcPr>
          <w:p w14:paraId="40DCF842">
            <w:pPr>
              <w:jc w:val="center"/>
              <w:rPr>
                <w:szCs w:val="21"/>
              </w:rPr>
            </w:pPr>
          </w:p>
        </w:tc>
        <w:tc>
          <w:tcPr>
            <w:tcW w:w="1002" w:type="dxa"/>
            <w:tcBorders>
              <w:top w:val="nil"/>
              <w:left w:val="nil"/>
              <w:bottom w:val="single" w:color="auto" w:sz="8" w:space="0"/>
              <w:right w:val="single" w:color="auto" w:sz="8" w:space="0"/>
            </w:tcBorders>
            <w:noWrap/>
            <w:vAlign w:val="center"/>
          </w:tcPr>
          <w:p w14:paraId="7F2591D9">
            <w:pPr>
              <w:jc w:val="center"/>
              <w:rPr>
                <w:szCs w:val="21"/>
              </w:rPr>
            </w:pPr>
          </w:p>
        </w:tc>
        <w:tc>
          <w:tcPr>
            <w:tcW w:w="436" w:type="dxa"/>
            <w:tcBorders>
              <w:top w:val="nil"/>
              <w:left w:val="nil"/>
              <w:bottom w:val="single" w:color="auto" w:sz="8" w:space="0"/>
              <w:right w:val="single" w:color="auto" w:sz="8" w:space="0"/>
            </w:tcBorders>
            <w:noWrap/>
            <w:vAlign w:val="center"/>
          </w:tcPr>
          <w:p w14:paraId="6D5EFF14">
            <w:pPr>
              <w:jc w:val="center"/>
              <w:rPr>
                <w:szCs w:val="21"/>
              </w:rPr>
            </w:pPr>
          </w:p>
        </w:tc>
        <w:tc>
          <w:tcPr>
            <w:tcW w:w="858" w:type="dxa"/>
            <w:tcBorders>
              <w:top w:val="nil"/>
              <w:left w:val="nil"/>
              <w:bottom w:val="single" w:color="auto" w:sz="8" w:space="0"/>
              <w:right w:val="single" w:color="auto" w:sz="8" w:space="0"/>
            </w:tcBorders>
            <w:noWrap/>
            <w:vAlign w:val="center"/>
          </w:tcPr>
          <w:p w14:paraId="3E1A5B4C">
            <w:pPr>
              <w:jc w:val="center"/>
              <w:rPr>
                <w:szCs w:val="21"/>
              </w:rPr>
            </w:pPr>
          </w:p>
        </w:tc>
        <w:tc>
          <w:tcPr>
            <w:tcW w:w="1710" w:type="dxa"/>
            <w:tcBorders>
              <w:top w:val="nil"/>
              <w:left w:val="nil"/>
              <w:bottom w:val="single" w:color="auto" w:sz="8" w:space="0"/>
              <w:right w:val="single" w:color="auto" w:sz="8" w:space="0"/>
            </w:tcBorders>
            <w:noWrap/>
            <w:vAlign w:val="center"/>
          </w:tcPr>
          <w:p w14:paraId="6C1F5FFE">
            <w:pPr>
              <w:jc w:val="center"/>
              <w:rPr>
                <w:szCs w:val="21"/>
              </w:rPr>
            </w:pPr>
          </w:p>
        </w:tc>
        <w:tc>
          <w:tcPr>
            <w:tcW w:w="2277" w:type="dxa"/>
            <w:tcBorders>
              <w:top w:val="nil"/>
              <w:left w:val="nil"/>
              <w:bottom w:val="single" w:color="auto" w:sz="8" w:space="0"/>
              <w:right w:val="single" w:color="auto" w:sz="8" w:space="0"/>
            </w:tcBorders>
            <w:noWrap/>
            <w:vAlign w:val="center"/>
          </w:tcPr>
          <w:p w14:paraId="19A23660">
            <w:pPr>
              <w:jc w:val="center"/>
              <w:rPr>
                <w:szCs w:val="21"/>
              </w:rPr>
            </w:pPr>
          </w:p>
        </w:tc>
      </w:tr>
      <w:tr w14:paraId="5FF9EBE5">
        <w:tblPrEx>
          <w:tblCellMar>
            <w:top w:w="0" w:type="dxa"/>
            <w:left w:w="108" w:type="dxa"/>
            <w:bottom w:w="0" w:type="dxa"/>
            <w:right w:w="108" w:type="dxa"/>
          </w:tblCellMar>
        </w:tblPrEx>
        <w:trPr>
          <w:trHeight w:val="300" w:hRule="atLeast"/>
        </w:trPr>
        <w:tc>
          <w:tcPr>
            <w:tcW w:w="577" w:type="dxa"/>
            <w:tcBorders>
              <w:top w:val="nil"/>
              <w:left w:val="single" w:color="auto" w:sz="8" w:space="0"/>
              <w:bottom w:val="single" w:color="auto" w:sz="8" w:space="0"/>
              <w:right w:val="single" w:color="auto" w:sz="8" w:space="0"/>
            </w:tcBorders>
            <w:noWrap/>
            <w:vAlign w:val="center"/>
          </w:tcPr>
          <w:p w14:paraId="40FDD387">
            <w:pPr>
              <w:jc w:val="center"/>
              <w:rPr>
                <w:szCs w:val="21"/>
              </w:rPr>
            </w:pPr>
            <w:r>
              <w:rPr>
                <w:rFonts w:hint="eastAsia"/>
                <w:szCs w:val="21"/>
              </w:rPr>
              <w:t>2</w:t>
            </w:r>
          </w:p>
        </w:tc>
        <w:tc>
          <w:tcPr>
            <w:tcW w:w="2994" w:type="dxa"/>
            <w:gridSpan w:val="2"/>
            <w:tcBorders>
              <w:top w:val="single" w:color="auto" w:sz="8" w:space="0"/>
              <w:left w:val="nil"/>
              <w:bottom w:val="single" w:color="auto" w:sz="8" w:space="0"/>
              <w:right w:val="single" w:color="000000" w:sz="8" w:space="0"/>
            </w:tcBorders>
            <w:noWrap/>
            <w:vAlign w:val="center"/>
          </w:tcPr>
          <w:p w14:paraId="55E8C3DE">
            <w:pPr>
              <w:jc w:val="center"/>
              <w:rPr>
                <w:szCs w:val="21"/>
              </w:rPr>
            </w:pPr>
          </w:p>
        </w:tc>
        <w:tc>
          <w:tcPr>
            <w:tcW w:w="1002" w:type="dxa"/>
            <w:tcBorders>
              <w:top w:val="nil"/>
              <w:left w:val="nil"/>
              <w:bottom w:val="single" w:color="auto" w:sz="8" w:space="0"/>
              <w:right w:val="single" w:color="auto" w:sz="8" w:space="0"/>
            </w:tcBorders>
            <w:noWrap/>
            <w:vAlign w:val="center"/>
          </w:tcPr>
          <w:p w14:paraId="7D3EEBCE">
            <w:pPr>
              <w:jc w:val="center"/>
              <w:rPr>
                <w:szCs w:val="21"/>
              </w:rPr>
            </w:pPr>
          </w:p>
        </w:tc>
        <w:tc>
          <w:tcPr>
            <w:tcW w:w="436" w:type="dxa"/>
            <w:tcBorders>
              <w:top w:val="nil"/>
              <w:left w:val="nil"/>
              <w:bottom w:val="single" w:color="auto" w:sz="8" w:space="0"/>
              <w:right w:val="single" w:color="auto" w:sz="8" w:space="0"/>
            </w:tcBorders>
            <w:noWrap/>
            <w:vAlign w:val="center"/>
          </w:tcPr>
          <w:p w14:paraId="3244EC1D">
            <w:pPr>
              <w:jc w:val="center"/>
              <w:rPr>
                <w:szCs w:val="21"/>
              </w:rPr>
            </w:pPr>
          </w:p>
        </w:tc>
        <w:tc>
          <w:tcPr>
            <w:tcW w:w="858" w:type="dxa"/>
            <w:tcBorders>
              <w:top w:val="nil"/>
              <w:left w:val="nil"/>
              <w:bottom w:val="single" w:color="auto" w:sz="8" w:space="0"/>
              <w:right w:val="single" w:color="auto" w:sz="8" w:space="0"/>
            </w:tcBorders>
            <w:noWrap/>
            <w:vAlign w:val="center"/>
          </w:tcPr>
          <w:p w14:paraId="02D63BEE">
            <w:pPr>
              <w:jc w:val="center"/>
              <w:rPr>
                <w:szCs w:val="21"/>
              </w:rPr>
            </w:pPr>
          </w:p>
        </w:tc>
        <w:tc>
          <w:tcPr>
            <w:tcW w:w="1710" w:type="dxa"/>
            <w:tcBorders>
              <w:top w:val="nil"/>
              <w:left w:val="nil"/>
              <w:bottom w:val="single" w:color="auto" w:sz="8" w:space="0"/>
              <w:right w:val="single" w:color="auto" w:sz="8" w:space="0"/>
            </w:tcBorders>
            <w:noWrap/>
            <w:vAlign w:val="center"/>
          </w:tcPr>
          <w:p w14:paraId="2E61F171">
            <w:pPr>
              <w:jc w:val="center"/>
              <w:rPr>
                <w:szCs w:val="21"/>
              </w:rPr>
            </w:pPr>
          </w:p>
        </w:tc>
        <w:tc>
          <w:tcPr>
            <w:tcW w:w="2277" w:type="dxa"/>
            <w:tcBorders>
              <w:top w:val="nil"/>
              <w:left w:val="nil"/>
              <w:bottom w:val="single" w:color="auto" w:sz="8" w:space="0"/>
              <w:right w:val="single" w:color="auto" w:sz="8" w:space="0"/>
            </w:tcBorders>
            <w:noWrap/>
            <w:vAlign w:val="center"/>
          </w:tcPr>
          <w:p w14:paraId="0EAB8F9C">
            <w:pPr>
              <w:jc w:val="center"/>
              <w:rPr>
                <w:szCs w:val="21"/>
              </w:rPr>
            </w:pPr>
          </w:p>
        </w:tc>
      </w:tr>
      <w:tr w14:paraId="4D4191D8">
        <w:tblPrEx>
          <w:tblCellMar>
            <w:top w:w="0" w:type="dxa"/>
            <w:left w:w="108" w:type="dxa"/>
            <w:bottom w:w="0" w:type="dxa"/>
            <w:right w:w="108" w:type="dxa"/>
          </w:tblCellMar>
        </w:tblPrEx>
        <w:trPr>
          <w:trHeight w:val="300" w:hRule="atLeast"/>
        </w:trPr>
        <w:tc>
          <w:tcPr>
            <w:tcW w:w="577" w:type="dxa"/>
            <w:tcBorders>
              <w:top w:val="nil"/>
              <w:left w:val="single" w:color="auto" w:sz="8" w:space="0"/>
              <w:bottom w:val="single" w:color="auto" w:sz="8" w:space="0"/>
              <w:right w:val="single" w:color="auto" w:sz="8" w:space="0"/>
            </w:tcBorders>
            <w:noWrap/>
            <w:vAlign w:val="center"/>
          </w:tcPr>
          <w:p w14:paraId="4AE62E3F">
            <w:pPr>
              <w:jc w:val="center"/>
              <w:rPr>
                <w:szCs w:val="21"/>
              </w:rPr>
            </w:pPr>
            <w:r>
              <w:rPr>
                <w:rFonts w:hint="eastAsia"/>
                <w:szCs w:val="21"/>
              </w:rPr>
              <w:t>3</w:t>
            </w:r>
          </w:p>
        </w:tc>
        <w:tc>
          <w:tcPr>
            <w:tcW w:w="2994" w:type="dxa"/>
            <w:gridSpan w:val="2"/>
            <w:tcBorders>
              <w:top w:val="single" w:color="auto" w:sz="8" w:space="0"/>
              <w:left w:val="nil"/>
              <w:bottom w:val="single" w:color="auto" w:sz="8" w:space="0"/>
              <w:right w:val="single" w:color="000000" w:sz="8" w:space="0"/>
            </w:tcBorders>
            <w:noWrap/>
            <w:vAlign w:val="center"/>
          </w:tcPr>
          <w:p w14:paraId="069E4570">
            <w:pPr>
              <w:jc w:val="center"/>
              <w:rPr>
                <w:szCs w:val="21"/>
              </w:rPr>
            </w:pPr>
          </w:p>
        </w:tc>
        <w:tc>
          <w:tcPr>
            <w:tcW w:w="1002" w:type="dxa"/>
            <w:tcBorders>
              <w:top w:val="nil"/>
              <w:left w:val="nil"/>
              <w:bottom w:val="single" w:color="auto" w:sz="8" w:space="0"/>
              <w:right w:val="single" w:color="auto" w:sz="8" w:space="0"/>
            </w:tcBorders>
            <w:noWrap/>
            <w:vAlign w:val="center"/>
          </w:tcPr>
          <w:p w14:paraId="436183FA">
            <w:pPr>
              <w:jc w:val="center"/>
              <w:rPr>
                <w:szCs w:val="21"/>
              </w:rPr>
            </w:pPr>
          </w:p>
        </w:tc>
        <w:tc>
          <w:tcPr>
            <w:tcW w:w="436" w:type="dxa"/>
            <w:tcBorders>
              <w:top w:val="nil"/>
              <w:left w:val="nil"/>
              <w:bottom w:val="single" w:color="auto" w:sz="8" w:space="0"/>
              <w:right w:val="single" w:color="auto" w:sz="8" w:space="0"/>
            </w:tcBorders>
            <w:noWrap/>
            <w:vAlign w:val="center"/>
          </w:tcPr>
          <w:p w14:paraId="6C53BD6C">
            <w:pPr>
              <w:jc w:val="center"/>
              <w:rPr>
                <w:szCs w:val="21"/>
              </w:rPr>
            </w:pPr>
          </w:p>
        </w:tc>
        <w:tc>
          <w:tcPr>
            <w:tcW w:w="858" w:type="dxa"/>
            <w:tcBorders>
              <w:top w:val="nil"/>
              <w:left w:val="nil"/>
              <w:bottom w:val="single" w:color="auto" w:sz="8" w:space="0"/>
              <w:right w:val="single" w:color="auto" w:sz="8" w:space="0"/>
            </w:tcBorders>
            <w:noWrap/>
            <w:vAlign w:val="center"/>
          </w:tcPr>
          <w:p w14:paraId="2BB63ED2">
            <w:pPr>
              <w:jc w:val="center"/>
              <w:rPr>
                <w:szCs w:val="21"/>
              </w:rPr>
            </w:pPr>
          </w:p>
        </w:tc>
        <w:tc>
          <w:tcPr>
            <w:tcW w:w="1710" w:type="dxa"/>
            <w:tcBorders>
              <w:top w:val="nil"/>
              <w:left w:val="nil"/>
              <w:bottom w:val="single" w:color="auto" w:sz="8" w:space="0"/>
              <w:right w:val="single" w:color="auto" w:sz="8" w:space="0"/>
            </w:tcBorders>
            <w:noWrap/>
            <w:vAlign w:val="center"/>
          </w:tcPr>
          <w:p w14:paraId="2CC33D3B">
            <w:pPr>
              <w:jc w:val="center"/>
              <w:rPr>
                <w:szCs w:val="21"/>
              </w:rPr>
            </w:pPr>
          </w:p>
        </w:tc>
        <w:tc>
          <w:tcPr>
            <w:tcW w:w="2277" w:type="dxa"/>
            <w:tcBorders>
              <w:top w:val="nil"/>
              <w:left w:val="nil"/>
              <w:bottom w:val="single" w:color="auto" w:sz="8" w:space="0"/>
              <w:right w:val="single" w:color="auto" w:sz="8" w:space="0"/>
            </w:tcBorders>
            <w:noWrap/>
            <w:vAlign w:val="center"/>
          </w:tcPr>
          <w:p w14:paraId="5138D5BC">
            <w:pPr>
              <w:jc w:val="center"/>
              <w:rPr>
                <w:szCs w:val="21"/>
              </w:rPr>
            </w:pPr>
          </w:p>
        </w:tc>
      </w:tr>
      <w:tr w14:paraId="684BB8F0">
        <w:tblPrEx>
          <w:tblCellMar>
            <w:top w:w="0" w:type="dxa"/>
            <w:left w:w="108" w:type="dxa"/>
            <w:bottom w:w="0" w:type="dxa"/>
            <w:right w:w="108" w:type="dxa"/>
          </w:tblCellMar>
        </w:tblPrEx>
        <w:trPr>
          <w:trHeight w:val="300" w:hRule="atLeast"/>
        </w:trPr>
        <w:tc>
          <w:tcPr>
            <w:tcW w:w="577" w:type="dxa"/>
            <w:tcBorders>
              <w:top w:val="nil"/>
              <w:left w:val="single" w:color="auto" w:sz="8" w:space="0"/>
              <w:bottom w:val="single" w:color="auto" w:sz="8" w:space="0"/>
              <w:right w:val="single" w:color="auto" w:sz="8" w:space="0"/>
            </w:tcBorders>
            <w:noWrap/>
            <w:vAlign w:val="center"/>
          </w:tcPr>
          <w:p w14:paraId="2EFB4D32">
            <w:pPr>
              <w:jc w:val="center"/>
              <w:rPr>
                <w:szCs w:val="21"/>
              </w:rPr>
            </w:pPr>
            <w:r>
              <w:rPr>
                <w:rFonts w:hint="eastAsia"/>
                <w:szCs w:val="21"/>
              </w:rPr>
              <w:t>4</w:t>
            </w:r>
          </w:p>
        </w:tc>
        <w:tc>
          <w:tcPr>
            <w:tcW w:w="2994" w:type="dxa"/>
            <w:gridSpan w:val="2"/>
            <w:tcBorders>
              <w:top w:val="single" w:color="auto" w:sz="8" w:space="0"/>
              <w:left w:val="nil"/>
              <w:bottom w:val="single" w:color="auto" w:sz="8" w:space="0"/>
              <w:right w:val="single" w:color="000000" w:sz="8" w:space="0"/>
            </w:tcBorders>
            <w:noWrap/>
            <w:vAlign w:val="center"/>
          </w:tcPr>
          <w:p w14:paraId="7D8FBD90">
            <w:pPr>
              <w:jc w:val="center"/>
              <w:rPr>
                <w:szCs w:val="21"/>
              </w:rPr>
            </w:pPr>
          </w:p>
        </w:tc>
        <w:tc>
          <w:tcPr>
            <w:tcW w:w="1002" w:type="dxa"/>
            <w:tcBorders>
              <w:top w:val="nil"/>
              <w:left w:val="nil"/>
              <w:bottom w:val="single" w:color="auto" w:sz="8" w:space="0"/>
              <w:right w:val="single" w:color="auto" w:sz="8" w:space="0"/>
            </w:tcBorders>
            <w:noWrap/>
            <w:vAlign w:val="center"/>
          </w:tcPr>
          <w:p w14:paraId="3575B6AB">
            <w:pPr>
              <w:jc w:val="center"/>
              <w:rPr>
                <w:szCs w:val="21"/>
              </w:rPr>
            </w:pPr>
          </w:p>
        </w:tc>
        <w:tc>
          <w:tcPr>
            <w:tcW w:w="436" w:type="dxa"/>
            <w:tcBorders>
              <w:top w:val="nil"/>
              <w:left w:val="nil"/>
              <w:bottom w:val="single" w:color="auto" w:sz="8" w:space="0"/>
              <w:right w:val="single" w:color="auto" w:sz="8" w:space="0"/>
            </w:tcBorders>
            <w:noWrap/>
            <w:vAlign w:val="center"/>
          </w:tcPr>
          <w:p w14:paraId="6496D024">
            <w:pPr>
              <w:jc w:val="center"/>
              <w:rPr>
                <w:szCs w:val="21"/>
              </w:rPr>
            </w:pPr>
          </w:p>
        </w:tc>
        <w:tc>
          <w:tcPr>
            <w:tcW w:w="858" w:type="dxa"/>
            <w:tcBorders>
              <w:top w:val="nil"/>
              <w:left w:val="nil"/>
              <w:bottom w:val="single" w:color="auto" w:sz="8" w:space="0"/>
              <w:right w:val="single" w:color="auto" w:sz="8" w:space="0"/>
            </w:tcBorders>
            <w:noWrap/>
            <w:vAlign w:val="center"/>
          </w:tcPr>
          <w:p w14:paraId="6F5581EF">
            <w:pPr>
              <w:jc w:val="center"/>
              <w:rPr>
                <w:szCs w:val="21"/>
              </w:rPr>
            </w:pPr>
          </w:p>
        </w:tc>
        <w:tc>
          <w:tcPr>
            <w:tcW w:w="1710" w:type="dxa"/>
            <w:tcBorders>
              <w:top w:val="nil"/>
              <w:left w:val="nil"/>
              <w:bottom w:val="single" w:color="auto" w:sz="8" w:space="0"/>
              <w:right w:val="single" w:color="auto" w:sz="8" w:space="0"/>
            </w:tcBorders>
            <w:noWrap/>
            <w:vAlign w:val="center"/>
          </w:tcPr>
          <w:p w14:paraId="46A76CC1">
            <w:pPr>
              <w:jc w:val="center"/>
              <w:rPr>
                <w:szCs w:val="21"/>
              </w:rPr>
            </w:pPr>
          </w:p>
        </w:tc>
        <w:tc>
          <w:tcPr>
            <w:tcW w:w="2277" w:type="dxa"/>
            <w:tcBorders>
              <w:top w:val="nil"/>
              <w:left w:val="nil"/>
              <w:bottom w:val="single" w:color="auto" w:sz="8" w:space="0"/>
              <w:right w:val="single" w:color="auto" w:sz="8" w:space="0"/>
            </w:tcBorders>
            <w:noWrap/>
            <w:vAlign w:val="center"/>
          </w:tcPr>
          <w:p w14:paraId="33FC9647">
            <w:pPr>
              <w:jc w:val="center"/>
              <w:rPr>
                <w:szCs w:val="21"/>
              </w:rPr>
            </w:pPr>
          </w:p>
        </w:tc>
      </w:tr>
      <w:tr w14:paraId="78A839A4">
        <w:tblPrEx>
          <w:tblCellMar>
            <w:top w:w="0" w:type="dxa"/>
            <w:left w:w="108" w:type="dxa"/>
            <w:bottom w:w="0" w:type="dxa"/>
            <w:right w:w="108" w:type="dxa"/>
          </w:tblCellMar>
        </w:tblPrEx>
        <w:trPr>
          <w:trHeight w:val="300" w:hRule="atLeast"/>
        </w:trPr>
        <w:tc>
          <w:tcPr>
            <w:tcW w:w="9854" w:type="dxa"/>
            <w:gridSpan w:val="8"/>
            <w:tcBorders>
              <w:top w:val="single" w:color="auto" w:sz="8" w:space="0"/>
              <w:left w:val="single" w:color="auto" w:sz="8" w:space="0"/>
              <w:bottom w:val="single" w:color="auto" w:sz="8" w:space="0"/>
              <w:right w:val="single" w:color="000000" w:sz="8" w:space="0"/>
            </w:tcBorders>
            <w:noWrap/>
            <w:vAlign w:val="center"/>
          </w:tcPr>
          <w:p w14:paraId="5289829F">
            <w:pPr>
              <w:jc w:val="center"/>
              <w:rPr>
                <w:szCs w:val="21"/>
              </w:rPr>
            </w:pPr>
            <w:r>
              <w:rPr>
                <w:rFonts w:hint="eastAsia"/>
                <w:szCs w:val="21"/>
              </w:rPr>
              <w:t>资质审查情况说明</w:t>
            </w:r>
          </w:p>
        </w:tc>
      </w:tr>
      <w:tr w14:paraId="5E91C4C0">
        <w:tblPrEx>
          <w:tblCellMar>
            <w:top w:w="0" w:type="dxa"/>
            <w:left w:w="108" w:type="dxa"/>
            <w:bottom w:w="0" w:type="dxa"/>
            <w:right w:w="108" w:type="dxa"/>
          </w:tblCellMar>
        </w:tblPrEx>
        <w:trPr>
          <w:trHeight w:val="20" w:hRule="exact"/>
        </w:trPr>
        <w:tc>
          <w:tcPr>
            <w:tcW w:w="9854" w:type="dxa"/>
            <w:gridSpan w:val="8"/>
            <w:vMerge w:val="restart"/>
            <w:tcBorders>
              <w:top w:val="single" w:color="auto" w:sz="8" w:space="0"/>
              <w:left w:val="single" w:color="auto" w:sz="8" w:space="0"/>
              <w:bottom w:val="single" w:color="000000" w:sz="8" w:space="0"/>
              <w:right w:val="single" w:color="000000" w:sz="8" w:space="0"/>
            </w:tcBorders>
            <w:noWrap/>
          </w:tcPr>
          <w:p w14:paraId="2F9DC7FB">
            <w:pPr>
              <w:jc w:val="center"/>
              <w:rPr>
                <w:szCs w:val="21"/>
              </w:rPr>
            </w:pPr>
            <w:r>
              <w:rPr>
                <w:rFonts w:hint="eastAsia"/>
                <w:szCs w:val="21"/>
              </w:rPr>
              <w:t>（资质、业绩、技术、能力，谈判保证金等方面）</w:t>
            </w:r>
          </w:p>
          <w:p w14:paraId="350AA833">
            <w:pPr>
              <w:tabs>
                <w:tab w:val="left" w:pos="3171"/>
              </w:tabs>
              <w:jc w:val="center"/>
              <w:rPr>
                <w:szCs w:val="21"/>
              </w:rPr>
            </w:pPr>
          </w:p>
        </w:tc>
      </w:tr>
      <w:tr w14:paraId="74059C43">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52075CFD">
            <w:pPr>
              <w:jc w:val="center"/>
              <w:rPr>
                <w:szCs w:val="21"/>
              </w:rPr>
            </w:pPr>
          </w:p>
        </w:tc>
      </w:tr>
      <w:tr w14:paraId="0AB64897">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7A6CA437">
            <w:pPr>
              <w:jc w:val="center"/>
              <w:rPr>
                <w:szCs w:val="21"/>
              </w:rPr>
            </w:pPr>
          </w:p>
        </w:tc>
      </w:tr>
      <w:tr w14:paraId="2A315D50">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4CD074F0">
            <w:pPr>
              <w:jc w:val="center"/>
              <w:rPr>
                <w:szCs w:val="21"/>
              </w:rPr>
            </w:pPr>
          </w:p>
        </w:tc>
      </w:tr>
      <w:tr w14:paraId="0537098E">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1C45965C">
            <w:pPr>
              <w:jc w:val="center"/>
              <w:rPr>
                <w:szCs w:val="21"/>
              </w:rPr>
            </w:pPr>
          </w:p>
        </w:tc>
      </w:tr>
      <w:tr w14:paraId="654C6FE7">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2DEBFAAC">
            <w:pPr>
              <w:jc w:val="center"/>
              <w:rPr>
                <w:szCs w:val="21"/>
              </w:rPr>
            </w:pPr>
          </w:p>
        </w:tc>
      </w:tr>
      <w:tr w14:paraId="58E063A8">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50768502">
            <w:pPr>
              <w:jc w:val="center"/>
              <w:rPr>
                <w:szCs w:val="21"/>
              </w:rPr>
            </w:pPr>
          </w:p>
        </w:tc>
      </w:tr>
      <w:tr w14:paraId="3EB40BA3">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2E7ED188">
            <w:pPr>
              <w:jc w:val="center"/>
              <w:rPr>
                <w:szCs w:val="21"/>
              </w:rPr>
            </w:pPr>
          </w:p>
        </w:tc>
      </w:tr>
      <w:tr w14:paraId="3CD54363">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0BC9CC95">
            <w:pPr>
              <w:jc w:val="center"/>
              <w:rPr>
                <w:szCs w:val="21"/>
              </w:rPr>
            </w:pPr>
          </w:p>
        </w:tc>
      </w:tr>
      <w:tr w14:paraId="56F0EAED">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44AD2F1F">
            <w:pPr>
              <w:jc w:val="center"/>
              <w:rPr>
                <w:szCs w:val="21"/>
              </w:rPr>
            </w:pPr>
          </w:p>
        </w:tc>
      </w:tr>
      <w:tr w14:paraId="5578D87D">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5BB2818E">
            <w:pPr>
              <w:jc w:val="center"/>
              <w:rPr>
                <w:szCs w:val="21"/>
              </w:rPr>
            </w:pPr>
          </w:p>
        </w:tc>
      </w:tr>
      <w:tr w14:paraId="72732DB2">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45464EBB">
            <w:pPr>
              <w:jc w:val="center"/>
              <w:rPr>
                <w:szCs w:val="21"/>
              </w:rPr>
            </w:pPr>
          </w:p>
        </w:tc>
      </w:tr>
      <w:tr w14:paraId="5033E32F">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212251EA">
            <w:pPr>
              <w:jc w:val="center"/>
              <w:rPr>
                <w:szCs w:val="21"/>
              </w:rPr>
            </w:pPr>
          </w:p>
        </w:tc>
      </w:tr>
      <w:tr w14:paraId="490DD26E">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6BC02BD7">
            <w:pPr>
              <w:jc w:val="center"/>
              <w:rPr>
                <w:szCs w:val="21"/>
              </w:rPr>
            </w:pPr>
          </w:p>
        </w:tc>
      </w:tr>
      <w:tr w14:paraId="4906DA6D">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6B06D4DB">
            <w:pPr>
              <w:jc w:val="center"/>
              <w:rPr>
                <w:szCs w:val="21"/>
              </w:rPr>
            </w:pPr>
          </w:p>
        </w:tc>
      </w:tr>
      <w:tr w14:paraId="1ED4E963">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2F265714">
            <w:pPr>
              <w:jc w:val="center"/>
              <w:rPr>
                <w:szCs w:val="21"/>
              </w:rPr>
            </w:pPr>
          </w:p>
        </w:tc>
      </w:tr>
      <w:tr w14:paraId="28034424">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38587500">
            <w:pPr>
              <w:jc w:val="center"/>
              <w:rPr>
                <w:szCs w:val="21"/>
              </w:rPr>
            </w:pPr>
          </w:p>
        </w:tc>
      </w:tr>
      <w:tr w14:paraId="794990BF">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7C647FE3">
            <w:pPr>
              <w:jc w:val="center"/>
              <w:rPr>
                <w:szCs w:val="21"/>
              </w:rPr>
            </w:pPr>
          </w:p>
        </w:tc>
      </w:tr>
      <w:tr w14:paraId="27D7E9DE">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69C8E9EE">
            <w:pPr>
              <w:jc w:val="center"/>
              <w:rPr>
                <w:szCs w:val="21"/>
              </w:rPr>
            </w:pPr>
          </w:p>
        </w:tc>
      </w:tr>
      <w:tr w14:paraId="724BD35F">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7513518D">
            <w:pPr>
              <w:jc w:val="center"/>
              <w:rPr>
                <w:szCs w:val="21"/>
              </w:rPr>
            </w:pPr>
          </w:p>
        </w:tc>
      </w:tr>
      <w:tr w14:paraId="58253E7D">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43542D70">
            <w:pPr>
              <w:jc w:val="center"/>
              <w:rPr>
                <w:szCs w:val="21"/>
              </w:rPr>
            </w:pPr>
          </w:p>
        </w:tc>
      </w:tr>
      <w:tr w14:paraId="47435F2B">
        <w:tblPrEx>
          <w:tblCellMar>
            <w:top w:w="0" w:type="dxa"/>
            <w:left w:w="108" w:type="dxa"/>
            <w:bottom w:w="0" w:type="dxa"/>
            <w:right w:w="108" w:type="dxa"/>
          </w:tblCellMar>
        </w:tblPrEx>
        <w:trPr>
          <w:trHeight w:val="312" w:hRule="atLeast"/>
        </w:trPr>
        <w:tc>
          <w:tcPr>
            <w:tcW w:w="9854" w:type="dxa"/>
            <w:gridSpan w:val="8"/>
            <w:vMerge w:val="continue"/>
            <w:tcBorders>
              <w:top w:val="single" w:color="auto" w:sz="8" w:space="0"/>
              <w:left w:val="single" w:color="auto" w:sz="8" w:space="0"/>
              <w:bottom w:val="single" w:color="000000" w:sz="8" w:space="0"/>
              <w:right w:val="single" w:color="000000" w:sz="8" w:space="0"/>
            </w:tcBorders>
            <w:vAlign w:val="center"/>
          </w:tcPr>
          <w:p w14:paraId="2C3A13F0">
            <w:pPr>
              <w:jc w:val="center"/>
              <w:rPr>
                <w:szCs w:val="21"/>
              </w:rPr>
            </w:pPr>
          </w:p>
        </w:tc>
      </w:tr>
      <w:tr w14:paraId="5D3077F3">
        <w:tblPrEx>
          <w:tblCellMar>
            <w:top w:w="0" w:type="dxa"/>
            <w:left w:w="108" w:type="dxa"/>
            <w:bottom w:w="0" w:type="dxa"/>
            <w:right w:w="108" w:type="dxa"/>
          </w:tblCellMar>
        </w:tblPrEx>
        <w:trPr>
          <w:trHeight w:val="312" w:hRule="atLeast"/>
        </w:trPr>
        <w:tc>
          <w:tcPr>
            <w:tcW w:w="1861" w:type="dxa"/>
            <w:gridSpan w:val="2"/>
            <w:vMerge w:val="restart"/>
            <w:tcBorders>
              <w:top w:val="single" w:color="000000" w:sz="8" w:space="0"/>
              <w:left w:val="single" w:color="auto" w:sz="8" w:space="0"/>
              <w:bottom w:val="single" w:color="000000" w:sz="8" w:space="0"/>
              <w:right w:val="single" w:color="000000" w:sz="8" w:space="0"/>
            </w:tcBorders>
            <w:noWrap/>
            <w:vAlign w:val="center"/>
          </w:tcPr>
          <w:p w14:paraId="2B81E2AB">
            <w:pPr>
              <w:jc w:val="center"/>
              <w:rPr>
                <w:szCs w:val="21"/>
              </w:rPr>
            </w:pPr>
            <w:r>
              <w:rPr>
                <w:rFonts w:hint="eastAsia"/>
                <w:szCs w:val="21"/>
              </w:rPr>
              <w:t>资格审查人员</w:t>
            </w:r>
          </w:p>
        </w:tc>
        <w:tc>
          <w:tcPr>
            <w:tcW w:w="7993" w:type="dxa"/>
            <w:gridSpan w:val="6"/>
            <w:vMerge w:val="restart"/>
            <w:tcBorders>
              <w:top w:val="single" w:color="000000" w:sz="8" w:space="0"/>
              <w:left w:val="single" w:color="auto" w:sz="8" w:space="0"/>
              <w:bottom w:val="single" w:color="000000" w:sz="8" w:space="0"/>
              <w:right w:val="single" w:color="000000" w:sz="8" w:space="0"/>
            </w:tcBorders>
            <w:noWrap/>
            <w:vAlign w:val="center"/>
          </w:tcPr>
          <w:p w14:paraId="2FD92033">
            <w:pPr>
              <w:jc w:val="center"/>
              <w:rPr>
                <w:szCs w:val="21"/>
              </w:rPr>
            </w:pPr>
          </w:p>
        </w:tc>
      </w:tr>
      <w:tr w14:paraId="56E83961">
        <w:tblPrEx>
          <w:tblCellMar>
            <w:top w:w="0" w:type="dxa"/>
            <w:left w:w="108" w:type="dxa"/>
            <w:bottom w:w="0" w:type="dxa"/>
            <w:right w:w="108" w:type="dxa"/>
          </w:tblCellMar>
        </w:tblPrEx>
        <w:trPr>
          <w:trHeight w:val="312" w:hRule="atLeast"/>
        </w:trPr>
        <w:tc>
          <w:tcPr>
            <w:tcW w:w="1861" w:type="dxa"/>
            <w:gridSpan w:val="2"/>
            <w:vMerge w:val="continue"/>
            <w:tcBorders>
              <w:top w:val="single" w:color="000000" w:sz="8" w:space="0"/>
              <w:left w:val="single" w:color="auto" w:sz="8" w:space="0"/>
              <w:bottom w:val="single" w:color="000000" w:sz="8" w:space="0"/>
              <w:right w:val="single" w:color="000000" w:sz="8" w:space="0"/>
            </w:tcBorders>
            <w:vAlign w:val="center"/>
          </w:tcPr>
          <w:p w14:paraId="59FD0CA4">
            <w:pPr>
              <w:jc w:val="center"/>
              <w:rPr>
                <w:szCs w:val="21"/>
              </w:rPr>
            </w:pPr>
          </w:p>
        </w:tc>
        <w:tc>
          <w:tcPr>
            <w:tcW w:w="7993" w:type="dxa"/>
            <w:gridSpan w:val="6"/>
            <w:vMerge w:val="continue"/>
            <w:tcBorders>
              <w:top w:val="single" w:color="000000" w:sz="8" w:space="0"/>
              <w:left w:val="single" w:color="auto" w:sz="8" w:space="0"/>
              <w:bottom w:val="single" w:color="000000" w:sz="8" w:space="0"/>
              <w:right w:val="single" w:color="000000" w:sz="8" w:space="0"/>
            </w:tcBorders>
            <w:vAlign w:val="center"/>
          </w:tcPr>
          <w:p w14:paraId="7AA3CD5F">
            <w:pPr>
              <w:jc w:val="center"/>
              <w:rPr>
                <w:szCs w:val="21"/>
              </w:rPr>
            </w:pPr>
          </w:p>
        </w:tc>
      </w:tr>
      <w:tr w14:paraId="68CE1FCB">
        <w:tblPrEx>
          <w:tblCellMar>
            <w:top w:w="0" w:type="dxa"/>
            <w:left w:w="108" w:type="dxa"/>
            <w:bottom w:w="0" w:type="dxa"/>
            <w:right w:w="108" w:type="dxa"/>
          </w:tblCellMar>
        </w:tblPrEx>
        <w:trPr>
          <w:trHeight w:val="312" w:hRule="atLeast"/>
        </w:trPr>
        <w:tc>
          <w:tcPr>
            <w:tcW w:w="1861" w:type="dxa"/>
            <w:gridSpan w:val="2"/>
            <w:vMerge w:val="continue"/>
            <w:tcBorders>
              <w:top w:val="single" w:color="000000" w:sz="8" w:space="0"/>
              <w:left w:val="single" w:color="auto" w:sz="8" w:space="0"/>
              <w:bottom w:val="single" w:color="000000" w:sz="8" w:space="0"/>
              <w:right w:val="single" w:color="000000" w:sz="8" w:space="0"/>
            </w:tcBorders>
            <w:vAlign w:val="center"/>
          </w:tcPr>
          <w:p w14:paraId="113F5286">
            <w:pPr>
              <w:jc w:val="center"/>
              <w:rPr>
                <w:szCs w:val="21"/>
              </w:rPr>
            </w:pPr>
          </w:p>
        </w:tc>
        <w:tc>
          <w:tcPr>
            <w:tcW w:w="7993" w:type="dxa"/>
            <w:gridSpan w:val="6"/>
            <w:vMerge w:val="continue"/>
            <w:tcBorders>
              <w:top w:val="single" w:color="000000" w:sz="8" w:space="0"/>
              <w:left w:val="single" w:color="auto" w:sz="8" w:space="0"/>
              <w:bottom w:val="single" w:color="000000" w:sz="8" w:space="0"/>
              <w:right w:val="single" w:color="000000" w:sz="8" w:space="0"/>
            </w:tcBorders>
            <w:vAlign w:val="center"/>
          </w:tcPr>
          <w:p w14:paraId="3F64A66E">
            <w:pPr>
              <w:jc w:val="center"/>
              <w:rPr>
                <w:szCs w:val="21"/>
              </w:rPr>
            </w:pPr>
          </w:p>
        </w:tc>
      </w:tr>
      <w:tr w14:paraId="23F5B680">
        <w:tblPrEx>
          <w:tblCellMar>
            <w:top w:w="0" w:type="dxa"/>
            <w:left w:w="108" w:type="dxa"/>
            <w:bottom w:w="0" w:type="dxa"/>
            <w:right w:w="108" w:type="dxa"/>
          </w:tblCellMar>
        </w:tblPrEx>
        <w:trPr>
          <w:trHeight w:val="312" w:hRule="atLeast"/>
        </w:trPr>
        <w:tc>
          <w:tcPr>
            <w:tcW w:w="1861" w:type="dxa"/>
            <w:gridSpan w:val="2"/>
            <w:vMerge w:val="continue"/>
            <w:tcBorders>
              <w:top w:val="single" w:color="000000" w:sz="8" w:space="0"/>
              <w:left w:val="single" w:color="auto" w:sz="8" w:space="0"/>
              <w:bottom w:val="single" w:color="000000" w:sz="8" w:space="0"/>
              <w:right w:val="single" w:color="000000" w:sz="8" w:space="0"/>
            </w:tcBorders>
            <w:vAlign w:val="center"/>
          </w:tcPr>
          <w:p w14:paraId="79EEF8C9">
            <w:pPr>
              <w:jc w:val="center"/>
              <w:rPr>
                <w:szCs w:val="21"/>
              </w:rPr>
            </w:pPr>
          </w:p>
        </w:tc>
        <w:tc>
          <w:tcPr>
            <w:tcW w:w="7993" w:type="dxa"/>
            <w:gridSpan w:val="6"/>
            <w:vMerge w:val="continue"/>
            <w:tcBorders>
              <w:top w:val="single" w:color="000000" w:sz="8" w:space="0"/>
              <w:left w:val="single" w:color="auto" w:sz="8" w:space="0"/>
              <w:bottom w:val="single" w:color="000000" w:sz="8" w:space="0"/>
              <w:right w:val="single" w:color="000000" w:sz="8" w:space="0"/>
            </w:tcBorders>
            <w:vAlign w:val="center"/>
          </w:tcPr>
          <w:p w14:paraId="7B98C7C8">
            <w:pPr>
              <w:jc w:val="center"/>
              <w:rPr>
                <w:szCs w:val="21"/>
              </w:rPr>
            </w:pPr>
          </w:p>
        </w:tc>
      </w:tr>
      <w:tr w14:paraId="326E9496">
        <w:tblPrEx>
          <w:tblCellMar>
            <w:top w:w="0" w:type="dxa"/>
            <w:left w:w="108" w:type="dxa"/>
            <w:bottom w:w="0" w:type="dxa"/>
            <w:right w:w="108" w:type="dxa"/>
          </w:tblCellMar>
        </w:tblPrEx>
        <w:trPr>
          <w:trHeight w:val="312" w:hRule="atLeast"/>
        </w:trPr>
        <w:tc>
          <w:tcPr>
            <w:tcW w:w="1861" w:type="dxa"/>
            <w:gridSpan w:val="2"/>
            <w:vMerge w:val="continue"/>
            <w:tcBorders>
              <w:top w:val="single" w:color="000000" w:sz="8" w:space="0"/>
              <w:left w:val="single" w:color="auto" w:sz="8" w:space="0"/>
              <w:bottom w:val="single" w:color="auto" w:sz="4" w:space="0"/>
              <w:right w:val="single" w:color="000000" w:sz="8" w:space="0"/>
            </w:tcBorders>
            <w:vAlign w:val="center"/>
          </w:tcPr>
          <w:p w14:paraId="785465F2">
            <w:pPr>
              <w:jc w:val="center"/>
              <w:rPr>
                <w:szCs w:val="21"/>
              </w:rPr>
            </w:pPr>
          </w:p>
        </w:tc>
        <w:tc>
          <w:tcPr>
            <w:tcW w:w="7993" w:type="dxa"/>
            <w:gridSpan w:val="6"/>
            <w:vMerge w:val="continue"/>
            <w:tcBorders>
              <w:top w:val="single" w:color="000000" w:sz="8" w:space="0"/>
              <w:left w:val="single" w:color="auto" w:sz="8" w:space="0"/>
              <w:bottom w:val="single" w:color="auto" w:sz="4" w:space="0"/>
              <w:right w:val="single" w:color="000000" w:sz="8" w:space="0"/>
            </w:tcBorders>
            <w:vAlign w:val="center"/>
          </w:tcPr>
          <w:p w14:paraId="5C711B70">
            <w:pPr>
              <w:jc w:val="center"/>
              <w:rPr>
                <w:szCs w:val="21"/>
              </w:rPr>
            </w:pPr>
          </w:p>
        </w:tc>
      </w:tr>
      <w:tr w14:paraId="0BBCE505">
        <w:tblPrEx>
          <w:tblCellMar>
            <w:top w:w="0" w:type="dxa"/>
            <w:left w:w="108" w:type="dxa"/>
            <w:bottom w:w="0" w:type="dxa"/>
            <w:right w:w="108" w:type="dxa"/>
          </w:tblCellMar>
        </w:tblPrEx>
        <w:trPr>
          <w:trHeight w:val="558" w:hRule="atLeast"/>
        </w:trPr>
        <w:tc>
          <w:tcPr>
            <w:tcW w:w="1861" w:type="dxa"/>
            <w:gridSpan w:val="2"/>
            <w:tcBorders>
              <w:top w:val="single" w:color="auto" w:sz="4" w:space="0"/>
              <w:left w:val="single" w:color="auto" w:sz="4" w:space="0"/>
              <w:bottom w:val="single" w:color="auto" w:sz="4" w:space="0"/>
              <w:right w:val="single" w:color="auto" w:sz="4" w:space="0"/>
            </w:tcBorders>
            <w:vAlign w:val="center"/>
          </w:tcPr>
          <w:p w14:paraId="1312FFCD">
            <w:pPr>
              <w:jc w:val="center"/>
              <w:rPr>
                <w:szCs w:val="21"/>
              </w:rPr>
            </w:pPr>
            <w:r>
              <w:rPr>
                <w:rFonts w:hint="eastAsia"/>
                <w:sz w:val="22"/>
              </w:rPr>
              <w:t>工作人员</w:t>
            </w:r>
          </w:p>
        </w:tc>
        <w:tc>
          <w:tcPr>
            <w:tcW w:w="7993" w:type="dxa"/>
            <w:gridSpan w:val="6"/>
            <w:tcBorders>
              <w:top w:val="single" w:color="auto" w:sz="4" w:space="0"/>
              <w:left w:val="single" w:color="auto" w:sz="4" w:space="0"/>
              <w:bottom w:val="single" w:color="auto" w:sz="4" w:space="0"/>
              <w:right w:val="single" w:color="auto" w:sz="4" w:space="0"/>
            </w:tcBorders>
            <w:vAlign w:val="center"/>
          </w:tcPr>
          <w:p w14:paraId="67D880D0">
            <w:pPr>
              <w:jc w:val="center"/>
              <w:rPr>
                <w:szCs w:val="21"/>
              </w:rPr>
            </w:pPr>
          </w:p>
        </w:tc>
      </w:tr>
    </w:tbl>
    <w:p w14:paraId="2323044B">
      <w:pPr>
        <w:jc w:val="center"/>
        <w:rPr>
          <w:b/>
          <w:sz w:val="30"/>
          <w:szCs w:val="30"/>
        </w:rPr>
      </w:pPr>
      <w:bookmarkStart w:id="147" w:name="_Toc417245049"/>
      <w:bookmarkStart w:id="148" w:name="_Toc446434343"/>
      <w:bookmarkStart w:id="149" w:name="_Toc312072286"/>
    </w:p>
    <w:p w14:paraId="16D7F54F">
      <w:pPr>
        <w:jc w:val="center"/>
        <w:rPr>
          <w:b/>
          <w:sz w:val="30"/>
          <w:szCs w:val="30"/>
        </w:rPr>
      </w:pPr>
      <w:r>
        <w:rPr>
          <w:rFonts w:hint="eastAsia"/>
          <w:b/>
          <w:sz w:val="30"/>
          <w:szCs w:val="30"/>
        </w:rPr>
        <w:t>打分表</w:t>
      </w:r>
    </w:p>
    <w:tbl>
      <w:tblPr>
        <w:tblStyle w:val="16"/>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134"/>
        <w:gridCol w:w="6502"/>
      </w:tblGrid>
      <w:tr w14:paraId="7B00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253" w:type="dxa"/>
            <w:tcBorders>
              <w:top w:val="single" w:color="auto" w:sz="4" w:space="0"/>
              <w:left w:val="single" w:color="auto" w:sz="4" w:space="0"/>
              <w:bottom w:val="single" w:color="auto" w:sz="4" w:space="0"/>
              <w:right w:val="single" w:color="auto" w:sz="4" w:space="0"/>
            </w:tcBorders>
            <w:noWrap/>
            <w:vAlign w:val="center"/>
          </w:tcPr>
          <w:p w14:paraId="0DC4F8BD">
            <w:pPr>
              <w:pStyle w:val="41"/>
              <w:tabs>
                <w:tab w:val="left" w:pos="2342"/>
              </w:tabs>
              <w:jc w:val="both"/>
              <w:rPr>
                <w:rFonts w:ascii="Times New Roman" w:hAnsi="Times New Roman"/>
                <w:b/>
                <w:bCs/>
                <w:sz w:val="21"/>
                <w:szCs w:val="21"/>
              </w:rPr>
            </w:pPr>
            <w:r>
              <w:rPr>
                <w:sz w:val="21"/>
                <w:szCs w:val="21"/>
              </w:rPr>
              <w:tab/>
            </w:r>
            <w:r>
              <w:rPr>
                <w:rFonts w:ascii="Times New Roman" w:hAnsi="Times New Roman"/>
                <w:sz w:val="21"/>
                <w:szCs w:val="21"/>
              </w:rPr>
              <w:t>项目</w:t>
            </w:r>
          </w:p>
        </w:tc>
        <w:tc>
          <w:tcPr>
            <w:tcW w:w="1134" w:type="dxa"/>
            <w:tcBorders>
              <w:top w:val="single" w:color="auto" w:sz="4" w:space="0"/>
              <w:left w:val="single" w:color="auto" w:sz="4" w:space="0"/>
              <w:bottom w:val="single" w:color="auto" w:sz="4" w:space="0"/>
              <w:right w:val="single" w:color="auto" w:sz="4" w:space="0"/>
            </w:tcBorders>
            <w:noWrap/>
            <w:vAlign w:val="center"/>
          </w:tcPr>
          <w:p w14:paraId="56FA91EE">
            <w:pPr>
              <w:pStyle w:val="45"/>
              <w:spacing w:line="300" w:lineRule="auto"/>
              <w:ind w:firstLine="105" w:firstLineChars="50"/>
              <w:jc w:val="center"/>
              <w:rPr>
                <w:rFonts w:ascii="Times New Roman" w:hAnsi="Times New Roman"/>
                <w:color w:val="auto"/>
                <w:kern w:val="0"/>
              </w:rPr>
            </w:pPr>
            <w:r>
              <w:rPr>
                <w:rFonts w:ascii="Times New Roman" w:hAnsi="Times New Roman"/>
                <w:color w:val="auto"/>
                <w:kern w:val="0"/>
              </w:rPr>
              <w:t>分值</w:t>
            </w:r>
          </w:p>
        </w:tc>
        <w:tc>
          <w:tcPr>
            <w:tcW w:w="6502" w:type="dxa"/>
            <w:tcBorders>
              <w:top w:val="single" w:color="auto" w:sz="4" w:space="0"/>
              <w:left w:val="single" w:color="auto" w:sz="4" w:space="0"/>
              <w:bottom w:val="single" w:color="auto" w:sz="4" w:space="0"/>
              <w:right w:val="single" w:color="auto" w:sz="4" w:space="0"/>
            </w:tcBorders>
            <w:noWrap/>
            <w:vAlign w:val="center"/>
          </w:tcPr>
          <w:p w14:paraId="5F8D8D36">
            <w:pPr>
              <w:pStyle w:val="45"/>
              <w:spacing w:line="300" w:lineRule="auto"/>
              <w:ind w:firstLine="1890" w:firstLineChars="900"/>
              <w:rPr>
                <w:rFonts w:ascii="Times New Roman" w:hAnsi="Times New Roman"/>
                <w:color w:val="auto"/>
                <w:kern w:val="0"/>
              </w:rPr>
            </w:pPr>
            <w:r>
              <w:rPr>
                <w:rFonts w:ascii="Times New Roman" w:hAnsi="Times New Roman"/>
                <w:color w:val="auto"/>
                <w:kern w:val="0"/>
              </w:rPr>
              <w:t>评分标准</w:t>
            </w:r>
          </w:p>
        </w:tc>
      </w:tr>
      <w:tr w14:paraId="563A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253" w:type="dxa"/>
            <w:tcBorders>
              <w:top w:val="single" w:color="auto" w:sz="4" w:space="0"/>
              <w:left w:val="single" w:color="auto" w:sz="4" w:space="0"/>
              <w:bottom w:val="single" w:color="auto" w:sz="4" w:space="0"/>
              <w:right w:val="single" w:color="auto" w:sz="4" w:space="0"/>
            </w:tcBorders>
            <w:noWrap/>
            <w:vAlign w:val="center"/>
          </w:tcPr>
          <w:p w14:paraId="7E0DC1E6">
            <w:pPr>
              <w:pStyle w:val="46"/>
              <w:spacing w:line="300" w:lineRule="auto"/>
              <w:jc w:val="center"/>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业绩</w:t>
            </w:r>
          </w:p>
        </w:tc>
        <w:tc>
          <w:tcPr>
            <w:tcW w:w="1134" w:type="dxa"/>
            <w:tcBorders>
              <w:top w:val="single" w:color="auto" w:sz="4" w:space="0"/>
              <w:left w:val="single" w:color="auto" w:sz="4" w:space="0"/>
              <w:bottom w:val="single" w:color="auto" w:sz="4" w:space="0"/>
              <w:right w:val="single" w:color="auto" w:sz="4" w:space="0"/>
            </w:tcBorders>
            <w:noWrap/>
            <w:vAlign w:val="center"/>
          </w:tcPr>
          <w:p w14:paraId="3D9F4610">
            <w:pPr>
              <w:pStyle w:val="46"/>
              <w:spacing w:line="300" w:lineRule="auto"/>
              <w:jc w:val="center"/>
              <w:rPr>
                <w:bCs/>
                <w:color w:val="auto"/>
                <w:sz w:val="21"/>
                <w:szCs w:val="21"/>
              </w:rPr>
            </w:pPr>
            <w:r>
              <w:rPr>
                <w:rFonts w:hint="eastAsia" w:eastAsia="宋体"/>
                <w:bCs/>
                <w:color w:val="auto"/>
                <w:sz w:val="21"/>
                <w:szCs w:val="21"/>
                <w:lang w:eastAsia="zh-CN"/>
              </w:rPr>
              <w:t>5</w:t>
            </w:r>
            <w:r>
              <w:rPr>
                <w:bCs/>
                <w:color w:val="auto"/>
                <w:sz w:val="21"/>
                <w:szCs w:val="21"/>
              </w:rPr>
              <w:t>分</w:t>
            </w:r>
          </w:p>
        </w:tc>
        <w:tc>
          <w:tcPr>
            <w:tcW w:w="6502" w:type="dxa"/>
            <w:tcBorders>
              <w:top w:val="single" w:color="auto" w:sz="4" w:space="0"/>
              <w:left w:val="single" w:color="auto" w:sz="4" w:space="0"/>
              <w:bottom w:val="single" w:color="auto" w:sz="4" w:space="0"/>
              <w:right w:val="single" w:color="auto" w:sz="4" w:space="0"/>
            </w:tcBorders>
            <w:noWrap/>
            <w:vAlign w:val="center"/>
          </w:tcPr>
          <w:p w14:paraId="3CACA1E1">
            <w:pPr>
              <w:pStyle w:val="46"/>
              <w:rPr>
                <w:color w:val="auto"/>
                <w:sz w:val="21"/>
                <w:szCs w:val="21"/>
                <w:lang w:eastAsia="zh-CN"/>
              </w:rPr>
            </w:pPr>
            <w:r>
              <w:rPr>
                <w:color w:val="auto"/>
                <w:sz w:val="21"/>
                <w:szCs w:val="21"/>
                <w:lang w:eastAsia="zh-CN"/>
              </w:rPr>
              <w:t>近三年（</w:t>
            </w:r>
            <w:r>
              <w:rPr>
                <w:rFonts w:hint="eastAsia"/>
                <w:color w:val="auto"/>
                <w:sz w:val="21"/>
                <w:szCs w:val="21"/>
                <w:lang w:eastAsia="zh-CN"/>
              </w:rPr>
              <w:t>202</w:t>
            </w:r>
            <w:r>
              <w:rPr>
                <w:rFonts w:hint="eastAsia" w:eastAsia="宋体"/>
                <w:color w:val="auto"/>
                <w:sz w:val="21"/>
                <w:szCs w:val="21"/>
                <w:lang w:eastAsia="zh-CN"/>
              </w:rPr>
              <w:t>2</w:t>
            </w:r>
            <w:r>
              <w:rPr>
                <w:color w:val="auto"/>
                <w:sz w:val="21"/>
                <w:szCs w:val="21"/>
                <w:lang w:eastAsia="zh-CN"/>
              </w:rPr>
              <w:t>年1月1日至</w:t>
            </w:r>
            <w:r>
              <w:rPr>
                <w:rFonts w:hint="eastAsia"/>
                <w:color w:val="auto"/>
                <w:sz w:val="21"/>
                <w:szCs w:val="21"/>
                <w:lang w:val="en-US" w:eastAsia="zh-CN"/>
              </w:rPr>
              <w:t>谈判</w:t>
            </w:r>
            <w:r>
              <w:rPr>
                <w:color w:val="auto"/>
                <w:sz w:val="21"/>
                <w:szCs w:val="21"/>
                <w:lang w:eastAsia="zh-CN"/>
              </w:rPr>
              <w:t>日期）承担过类似工程项目的每项得1分，最多得</w:t>
            </w:r>
            <w:r>
              <w:rPr>
                <w:rFonts w:hint="eastAsia" w:eastAsia="宋体"/>
                <w:color w:val="auto"/>
                <w:sz w:val="21"/>
                <w:szCs w:val="21"/>
                <w:lang w:eastAsia="zh-CN"/>
              </w:rPr>
              <w:t>5</w:t>
            </w:r>
            <w:r>
              <w:rPr>
                <w:color w:val="auto"/>
                <w:sz w:val="21"/>
                <w:szCs w:val="21"/>
                <w:lang w:eastAsia="zh-CN"/>
              </w:rPr>
              <w:t>分。（须提供合同原件及</w:t>
            </w:r>
            <w:r>
              <w:rPr>
                <w:rFonts w:hint="eastAsia"/>
                <w:color w:val="auto"/>
                <w:sz w:val="21"/>
                <w:szCs w:val="21"/>
                <w:lang w:eastAsia="zh-CN"/>
              </w:rPr>
              <w:t>成交</w:t>
            </w:r>
            <w:r>
              <w:rPr>
                <w:color w:val="auto"/>
                <w:sz w:val="21"/>
                <w:szCs w:val="21"/>
                <w:lang w:eastAsia="zh-CN"/>
              </w:rPr>
              <w:t>通知书原件，时间以合同签订时间为准，否则不得分）</w:t>
            </w:r>
          </w:p>
        </w:tc>
      </w:tr>
      <w:tr w14:paraId="59AE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253" w:type="dxa"/>
            <w:tcBorders>
              <w:top w:val="single" w:color="auto" w:sz="4" w:space="0"/>
              <w:left w:val="single" w:color="auto" w:sz="4" w:space="0"/>
              <w:bottom w:val="single" w:color="auto" w:sz="4" w:space="0"/>
              <w:right w:val="single" w:color="auto" w:sz="4" w:space="0"/>
            </w:tcBorders>
            <w:noWrap/>
            <w:vAlign w:val="center"/>
          </w:tcPr>
          <w:p w14:paraId="5430A3D1">
            <w:pPr>
              <w:pStyle w:val="46"/>
              <w:spacing w:line="300"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技术力量</w:t>
            </w:r>
          </w:p>
        </w:tc>
        <w:tc>
          <w:tcPr>
            <w:tcW w:w="1134" w:type="dxa"/>
            <w:tcBorders>
              <w:top w:val="single" w:color="auto" w:sz="4" w:space="0"/>
              <w:left w:val="single" w:color="auto" w:sz="4" w:space="0"/>
              <w:bottom w:val="single" w:color="auto" w:sz="4" w:space="0"/>
              <w:right w:val="single" w:color="auto" w:sz="4" w:space="0"/>
            </w:tcBorders>
            <w:noWrap/>
            <w:vAlign w:val="center"/>
          </w:tcPr>
          <w:p w14:paraId="70470D25">
            <w:pPr>
              <w:pStyle w:val="46"/>
              <w:spacing w:line="300" w:lineRule="auto"/>
              <w:jc w:val="center"/>
              <w:rPr>
                <w:rFonts w:eastAsia="宋体"/>
                <w:bCs/>
                <w:color w:val="auto"/>
                <w:sz w:val="21"/>
                <w:szCs w:val="21"/>
                <w:lang w:eastAsia="zh-CN"/>
              </w:rPr>
            </w:pPr>
            <w:r>
              <w:rPr>
                <w:rFonts w:hint="eastAsia" w:eastAsia="宋体"/>
                <w:bCs/>
                <w:color w:val="auto"/>
                <w:sz w:val="21"/>
                <w:szCs w:val="21"/>
                <w:lang w:eastAsia="zh-CN"/>
              </w:rPr>
              <w:t>5分</w:t>
            </w:r>
          </w:p>
        </w:tc>
        <w:tc>
          <w:tcPr>
            <w:tcW w:w="6502" w:type="dxa"/>
            <w:tcBorders>
              <w:top w:val="single" w:color="auto" w:sz="4" w:space="0"/>
              <w:left w:val="single" w:color="auto" w:sz="4" w:space="0"/>
              <w:bottom w:val="single" w:color="auto" w:sz="4" w:space="0"/>
              <w:right w:val="single" w:color="auto" w:sz="4" w:space="0"/>
            </w:tcBorders>
            <w:noWrap/>
            <w:vAlign w:val="center"/>
          </w:tcPr>
          <w:p w14:paraId="65CBED3B">
            <w:pPr>
              <w:pStyle w:val="46"/>
              <w:rPr>
                <w:rFonts w:eastAsia="宋体"/>
                <w:color w:val="auto"/>
                <w:sz w:val="21"/>
                <w:szCs w:val="21"/>
                <w:lang w:eastAsia="zh-CN"/>
              </w:rPr>
            </w:pPr>
            <w:r>
              <w:rPr>
                <w:rFonts w:hint="eastAsia" w:eastAsia="宋体"/>
                <w:color w:val="auto"/>
                <w:sz w:val="21"/>
                <w:szCs w:val="21"/>
                <w:lang w:eastAsia="zh-CN"/>
              </w:rPr>
              <w:t>1.企业配备专业技术人员（安全、采矿、地质、电气、机械专职安全评价师），并提供近6个月的社保证明；</w:t>
            </w:r>
          </w:p>
          <w:p w14:paraId="48F0F2C2">
            <w:pPr>
              <w:pStyle w:val="46"/>
              <w:rPr>
                <w:rFonts w:eastAsia="宋体"/>
                <w:color w:val="auto"/>
                <w:sz w:val="21"/>
                <w:szCs w:val="21"/>
                <w:lang w:eastAsia="zh-CN"/>
              </w:rPr>
            </w:pPr>
            <w:r>
              <w:rPr>
                <w:rFonts w:hint="eastAsia" w:eastAsia="宋体"/>
                <w:color w:val="auto"/>
                <w:sz w:val="21"/>
                <w:szCs w:val="21"/>
                <w:lang w:eastAsia="zh-CN"/>
              </w:rPr>
              <w:t>2.按专业及人员资质，最优5分，次优3-4分，其它根据情况0-2分</w:t>
            </w:r>
          </w:p>
        </w:tc>
      </w:tr>
      <w:tr w14:paraId="20CE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253" w:type="dxa"/>
            <w:tcBorders>
              <w:top w:val="single" w:color="auto" w:sz="4" w:space="0"/>
              <w:left w:val="single" w:color="auto" w:sz="4" w:space="0"/>
              <w:bottom w:val="single" w:color="auto" w:sz="4" w:space="0"/>
              <w:right w:val="single" w:color="auto" w:sz="4" w:space="0"/>
            </w:tcBorders>
            <w:noWrap/>
            <w:vAlign w:val="center"/>
          </w:tcPr>
          <w:p w14:paraId="2AE17857">
            <w:pPr>
              <w:pStyle w:val="46"/>
              <w:spacing w:line="300" w:lineRule="auto"/>
              <w:jc w:val="center"/>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服务方案</w:t>
            </w:r>
          </w:p>
        </w:tc>
        <w:tc>
          <w:tcPr>
            <w:tcW w:w="1134" w:type="dxa"/>
            <w:tcBorders>
              <w:top w:val="single" w:color="auto" w:sz="4" w:space="0"/>
              <w:left w:val="single" w:color="auto" w:sz="4" w:space="0"/>
              <w:bottom w:val="single" w:color="auto" w:sz="4" w:space="0"/>
              <w:right w:val="single" w:color="auto" w:sz="4" w:space="0"/>
            </w:tcBorders>
            <w:noWrap/>
            <w:vAlign w:val="center"/>
          </w:tcPr>
          <w:p w14:paraId="27D6A4EA">
            <w:pPr>
              <w:pStyle w:val="46"/>
              <w:spacing w:line="300" w:lineRule="auto"/>
              <w:jc w:val="center"/>
              <w:rPr>
                <w:rFonts w:eastAsia="宋体"/>
                <w:bCs/>
                <w:color w:val="auto"/>
                <w:sz w:val="21"/>
                <w:szCs w:val="21"/>
                <w:lang w:eastAsia="zh-CN"/>
              </w:rPr>
            </w:pPr>
            <w:r>
              <w:rPr>
                <w:rFonts w:hint="eastAsia" w:eastAsia="宋体"/>
                <w:bCs/>
                <w:color w:val="auto"/>
                <w:sz w:val="21"/>
                <w:szCs w:val="21"/>
                <w:lang w:eastAsia="zh-CN"/>
              </w:rPr>
              <w:t>10分</w:t>
            </w:r>
          </w:p>
        </w:tc>
        <w:tc>
          <w:tcPr>
            <w:tcW w:w="6502" w:type="dxa"/>
            <w:tcBorders>
              <w:top w:val="single" w:color="auto" w:sz="4" w:space="0"/>
              <w:left w:val="single" w:color="auto" w:sz="4" w:space="0"/>
              <w:bottom w:val="single" w:color="auto" w:sz="4" w:space="0"/>
              <w:right w:val="single" w:color="auto" w:sz="4" w:space="0"/>
            </w:tcBorders>
            <w:noWrap/>
            <w:vAlign w:val="center"/>
          </w:tcPr>
          <w:p w14:paraId="5760320C">
            <w:pPr>
              <w:pStyle w:val="46"/>
              <w:rPr>
                <w:rFonts w:eastAsia="宋体"/>
                <w:color w:val="auto"/>
                <w:sz w:val="21"/>
                <w:szCs w:val="21"/>
                <w:lang w:eastAsia="zh-CN"/>
              </w:rPr>
            </w:pPr>
            <w:bookmarkStart w:id="150" w:name="OLE_LINK3"/>
            <w:r>
              <w:rPr>
                <w:rFonts w:hint="eastAsia" w:eastAsia="宋体"/>
                <w:color w:val="auto"/>
                <w:sz w:val="21"/>
                <w:szCs w:val="21"/>
                <w:lang w:eastAsia="zh-CN"/>
              </w:rPr>
              <w:t>最优8-10分，次优5-7分，其它根据情况0-4分</w:t>
            </w:r>
            <w:bookmarkEnd w:id="150"/>
          </w:p>
        </w:tc>
      </w:tr>
      <w:tr w14:paraId="58D8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253" w:type="dxa"/>
            <w:tcBorders>
              <w:left w:val="single" w:color="auto" w:sz="4" w:space="0"/>
              <w:right w:val="single" w:color="auto" w:sz="4" w:space="0"/>
            </w:tcBorders>
            <w:noWrap/>
            <w:vAlign w:val="center"/>
          </w:tcPr>
          <w:p w14:paraId="504C3485">
            <w:pPr>
              <w:pStyle w:val="45"/>
              <w:spacing w:line="300" w:lineRule="auto"/>
              <w:ind w:firstLine="0" w:firstLineChars="0"/>
              <w:jc w:val="center"/>
              <w:rPr>
                <w:rFonts w:asciiTheme="minorEastAsia" w:hAnsiTheme="minorEastAsia" w:eastAsiaTheme="minorEastAsia"/>
                <w:color w:val="auto"/>
                <w:kern w:val="0"/>
              </w:rPr>
            </w:pPr>
            <w:r>
              <w:rPr>
                <w:rFonts w:hint="eastAsia" w:asciiTheme="minorEastAsia" w:hAnsiTheme="minorEastAsia" w:eastAsiaTheme="minorEastAsia"/>
                <w:color w:val="auto"/>
                <w:lang w:eastAsia="zh-CN"/>
              </w:rPr>
              <w:t>供应商</w:t>
            </w:r>
            <w:r>
              <w:rPr>
                <w:rFonts w:asciiTheme="minorEastAsia" w:hAnsiTheme="minorEastAsia" w:eastAsiaTheme="minorEastAsia"/>
                <w:color w:val="auto"/>
                <w:kern w:val="0"/>
              </w:rPr>
              <w:t>报价</w:t>
            </w:r>
          </w:p>
        </w:tc>
        <w:tc>
          <w:tcPr>
            <w:tcW w:w="1134" w:type="dxa"/>
            <w:tcBorders>
              <w:left w:val="single" w:color="auto" w:sz="4" w:space="0"/>
              <w:right w:val="single" w:color="auto" w:sz="4" w:space="0"/>
            </w:tcBorders>
            <w:noWrap/>
            <w:vAlign w:val="center"/>
          </w:tcPr>
          <w:p w14:paraId="4D6C84D7">
            <w:pPr>
              <w:pStyle w:val="46"/>
              <w:spacing w:line="300" w:lineRule="auto"/>
              <w:jc w:val="center"/>
              <w:rPr>
                <w:color w:val="auto"/>
                <w:sz w:val="21"/>
                <w:szCs w:val="21"/>
              </w:rPr>
            </w:pPr>
            <w:r>
              <w:rPr>
                <w:rFonts w:hint="eastAsia" w:eastAsia="宋体"/>
                <w:color w:val="auto"/>
                <w:sz w:val="21"/>
                <w:szCs w:val="21"/>
                <w:lang w:eastAsia="zh-CN"/>
              </w:rPr>
              <w:t>80</w:t>
            </w:r>
            <w:r>
              <w:rPr>
                <w:rFonts w:hint="eastAsia" w:ascii="宋体" w:hAnsi="宋体" w:eastAsia="宋体" w:cs="宋体"/>
                <w:color w:val="auto"/>
                <w:sz w:val="21"/>
                <w:szCs w:val="21"/>
              </w:rPr>
              <w:t>分</w:t>
            </w:r>
          </w:p>
        </w:tc>
        <w:tc>
          <w:tcPr>
            <w:tcW w:w="6502" w:type="dxa"/>
            <w:tcBorders>
              <w:top w:val="single" w:color="auto" w:sz="4" w:space="0"/>
              <w:left w:val="single" w:color="auto" w:sz="4" w:space="0"/>
              <w:bottom w:val="single" w:color="auto" w:sz="4" w:space="0"/>
              <w:right w:val="single" w:color="auto" w:sz="4" w:space="0"/>
            </w:tcBorders>
            <w:noWrap/>
            <w:vAlign w:val="center"/>
          </w:tcPr>
          <w:p w14:paraId="0CB2752D">
            <w:pPr>
              <w:tabs>
                <w:tab w:val="right" w:pos="8306"/>
              </w:tabs>
              <w:adjustRightInd w:val="0"/>
              <w:snapToGrid w:val="0"/>
              <w:rPr>
                <w:rFonts w:ascii="Times New Roman" w:hAnsi="Times New Roman"/>
                <w:szCs w:val="21"/>
              </w:rPr>
            </w:pPr>
            <w:r>
              <w:rPr>
                <w:rFonts w:hint="eastAsia" w:ascii="Times New Roman" w:hAnsi="Times New Roman"/>
                <w:szCs w:val="21"/>
              </w:rPr>
              <w:t>1.评审基准价</w:t>
            </w:r>
          </w:p>
          <w:p w14:paraId="3C45AD77">
            <w:pPr>
              <w:tabs>
                <w:tab w:val="right" w:pos="8306"/>
              </w:tabs>
              <w:adjustRightInd w:val="0"/>
              <w:snapToGrid w:val="0"/>
              <w:ind w:left="-2" w:leftChars="-1"/>
              <w:rPr>
                <w:rFonts w:ascii="Times New Roman" w:hAnsi="Times New Roman"/>
                <w:szCs w:val="21"/>
              </w:rPr>
            </w:pPr>
            <w:r>
              <w:rPr>
                <w:rFonts w:hint="eastAsia" w:ascii="Times New Roman" w:hAnsi="Times New Roman"/>
                <w:szCs w:val="21"/>
              </w:rPr>
              <w:t>当有效成交单位N≤5时，为有效成交单位的最低报价值。</w:t>
            </w:r>
          </w:p>
          <w:p w14:paraId="16E441DB">
            <w:pPr>
              <w:tabs>
                <w:tab w:val="right" w:pos="8306"/>
              </w:tabs>
              <w:adjustRightInd w:val="0"/>
              <w:snapToGrid w:val="0"/>
              <w:ind w:left="-2" w:leftChars="-1"/>
              <w:rPr>
                <w:rFonts w:ascii="Times New Roman" w:hAnsi="Times New Roman"/>
                <w:szCs w:val="21"/>
              </w:rPr>
            </w:pPr>
            <w:r>
              <w:rPr>
                <w:rFonts w:hint="eastAsia" w:ascii="Times New Roman" w:hAnsi="Times New Roman"/>
                <w:szCs w:val="21"/>
              </w:rPr>
              <w:t>当有效成交单位N＞5时，为有效成交单位的次低报价值 。</w:t>
            </w:r>
          </w:p>
          <w:p w14:paraId="1EEC6BAF">
            <w:pPr>
              <w:tabs>
                <w:tab w:val="right" w:pos="8306"/>
              </w:tabs>
              <w:adjustRightInd w:val="0"/>
              <w:snapToGrid w:val="0"/>
              <w:rPr>
                <w:rFonts w:ascii="Times New Roman" w:hAnsi="Times New Roman"/>
                <w:szCs w:val="21"/>
              </w:rPr>
            </w:pPr>
            <w:r>
              <w:rPr>
                <w:rFonts w:hint="eastAsia" w:ascii="Times New Roman" w:hAnsi="Times New Roman"/>
                <w:szCs w:val="21"/>
              </w:rPr>
              <w:t>2.报价分值=评审基准价/供应商报价×80 （最高80分）</w:t>
            </w:r>
          </w:p>
          <w:p w14:paraId="6AA090C8">
            <w:pPr>
              <w:adjustRightInd w:val="0"/>
              <w:snapToGrid w:val="0"/>
              <w:rPr>
                <w:rFonts w:ascii="Times New Roman" w:hAnsi="Times New Roman"/>
                <w:szCs w:val="21"/>
              </w:rPr>
            </w:pPr>
            <w:r>
              <w:rPr>
                <w:rFonts w:hint="eastAsia" w:ascii="Times New Roman" w:hAnsi="Times New Roman"/>
                <w:szCs w:val="21"/>
              </w:rPr>
              <w:t>3.供应商报价分值高于80分按照80分计算。</w:t>
            </w:r>
          </w:p>
        </w:tc>
      </w:tr>
    </w:tbl>
    <w:p w14:paraId="0394B542">
      <w:pPr>
        <w:widowControl/>
        <w:jc w:val="left"/>
        <w:rPr>
          <w:rFonts w:ascii="方正小标宋简体" w:hAnsi="方正小标宋简体" w:eastAsia="方正小标宋简体" w:cs="方正小标宋简体"/>
          <w:b/>
          <w:kern w:val="0"/>
          <w:sz w:val="44"/>
          <w:szCs w:val="21"/>
        </w:rPr>
      </w:pPr>
      <w:r>
        <w:rPr>
          <w:rFonts w:ascii="方正小标宋简体" w:hAnsi="方正小标宋简体" w:eastAsia="方正小标宋简体" w:cs="方正小标宋简体"/>
          <w:kern w:val="0"/>
          <w:szCs w:val="21"/>
        </w:rPr>
        <w:br w:type="page"/>
      </w:r>
    </w:p>
    <w:p w14:paraId="312FBF77">
      <w:pPr>
        <w:pStyle w:val="32"/>
        <w:widowControl/>
        <w:spacing w:beforeLines="0" w:line="300" w:lineRule="auto"/>
        <w:jc w:val="both"/>
      </w:pPr>
      <w:r>
        <w:rPr>
          <w:rFonts w:hint="eastAsia" w:ascii="方正小标宋简体" w:hAnsi="方正小标宋简体" w:eastAsia="方正小标宋简体" w:cs="方正小标宋简体"/>
          <w:kern w:val="0"/>
          <w:szCs w:val="21"/>
        </w:rPr>
        <w:t>第四章</w:t>
      </w:r>
      <w:r>
        <w:rPr>
          <w:rFonts w:hint="eastAsia" w:ascii="方正小标宋简体" w:hAnsi="方正小标宋简体" w:eastAsia="方正小标宋简体" w:cs="方正小标宋简体"/>
        </w:rPr>
        <w:t xml:space="preserve">  合同条款及格式</w:t>
      </w:r>
      <w:bookmarkEnd w:id="147"/>
      <w:bookmarkEnd w:id="148"/>
      <w:bookmarkEnd w:id="149"/>
      <w:bookmarkStart w:id="151" w:name="_Toc184635124"/>
      <w:bookmarkStart w:id="152" w:name="_Toc312072314"/>
    </w:p>
    <w:bookmarkEnd w:id="151"/>
    <w:bookmarkEnd w:id="152"/>
    <w:p w14:paraId="3AC1CF13">
      <w:pPr>
        <w:jc w:val="left"/>
        <w:rPr>
          <w:rFonts w:ascii="仿宋_GB2312" w:hAnsi="宋体" w:eastAsia="仿宋_GB2312"/>
          <w:sz w:val="28"/>
        </w:rPr>
      </w:pPr>
    </w:p>
    <w:p w14:paraId="6AD6A162">
      <w:pPr>
        <w:jc w:val="left"/>
        <w:rPr>
          <w:vanish/>
        </w:rPr>
      </w:pPr>
      <w:r>
        <w:rPr>
          <w:rFonts w:hint="eastAsia" w:ascii="仿宋_GB2312" w:hAnsi="宋体" w:eastAsia="仿宋_GB2312"/>
          <w:sz w:val="28"/>
        </w:rPr>
        <w:t xml:space="preserve">合同编号：                                        </w:t>
      </w:r>
    </w:p>
    <w:p w14:paraId="0D097336">
      <w:pPr>
        <w:pStyle w:val="12"/>
        <w:jc w:val="both"/>
        <w:rPr>
          <w:rFonts w:ascii="仿宋_GB2312" w:hAnsi="宋体" w:eastAsia="仿宋_GB2312"/>
          <w:sz w:val="28"/>
        </w:rPr>
      </w:pPr>
      <w:r>
        <w:rPr>
          <w:rFonts w:hint="eastAsia" w:ascii="仿宋_GB2312" w:hAnsi="宋体" w:eastAsia="仿宋_GB2312"/>
          <w:sz w:val="28"/>
        </w:rPr>
        <w:t xml:space="preserve">                                        </w:t>
      </w:r>
      <w:r>
        <w:rPr>
          <w:rFonts w:hint="eastAsia" w:ascii="仿宋_GB2312" w:hAnsi="宋体" w:eastAsia="仿宋_GB2312"/>
          <w:sz w:val="28"/>
          <w:bdr w:val="single" w:color="auto" w:sz="4" w:space="0"/>
        </w:rPr>
        <w:t xml:space="preserve">      </w:t>
      </w:r>
    </w:p>
    <w:p w14:paraId="6D0D21CD">
      <w:pPr>
        <w:pStyle w:val="12"/>
        <w:spacing w:line="480" w:lineRule="exact"/>
        <w:ind w:firstLine="560" w:firstLineChars="200"/>
        <w:rPr>
          <w:rFonts w:ascii="仿宋_GB2312" w:hAnsi="宋体" w:eastAsia="仿宋_GB2312"/>
          <w:sz w:val="28"/>
        </w:rPr>
      </w:pPr>
      <w:r>
        <w:rPr>
          <w:rFonts w:hint="eastAsia" w:ascii="仿宋_GB2312" w:hAnsi="宋体" w:eastAsia="仿宋_GB2312"/>
          <w:sz w:val="28"/>
        </w:rPr>
        <w:t xml:space="preserve">                                     </w:t>
      </w:r>
    </w:p>
    <w:p w14:paraId="1361324B">
      <w:pPr>
        <w:pStyle w:val="12"/>
        <w:jc w:val="center"/>
        <w:rPr>
          <w:rFonts w:ascii="宋体" w:hAnsi="宋体" w:eastAsia="宋体" w:cs="宋体"/>
          <w:b/>
          <w:sz w:val="48"/>
          <w:szCs w:val="48"/>
        </w:rPr>
      </w:pPr>
      <w:r>
        <w:rPr>
          <w:rFonts w:hint="eastAsia" w:ascii="宋体" w:hAnsi="宋体" w:eastAsia="宋体" w:cs="宋体"/>
          <w:b/>
          <w:sz w:val="48"/>
          <w:szCs w:val="48"/>
        </w:rPr>
        <w:t>安全评价技术服务合同</w:t>
      </w:r>
    </w:p>
    <w:p w14:paraId="320CB750">
      <w:pPr>
        <w:pStyle w:val="12"/>
        <w:spacing w:afterLines="50"/>
        <w:rPr>
          <w:rFonts w:ascii="仿宋_GB2312" w:hAnsi="宋体" w:eastAsia="仿宋_GB2312"/>
          <w:sz w:val="30"/>
        </w:rPr>
      </w:pPr>
    </w:p>
    <w:p w14:paraId="76570FBF">
      <w:pPr>
        <w:pStyle w:val="12"/>
        <w:spacing w:afterLines="50"/>
        <w:rPr>
          <w:rFonts w:ascii="宋体" w:hAnsi="宋体" w:eastAsia="宋体"/>
          <w:sz w:val="30"/>
        </w:rPr>
      </w:pPr>
    </w:p>
    <w:p w14:paraId="46855129">
      <w:pPr>
        <w:pStyle w:val="12"/>
        <w:spacing w:afterLines="50"/>
        <w:rPr>
          <w:rFonts w:ascii="宋体" w:hAnsi="宋体" w:eastAsia="宋体"/>
          <w:sz w:val="30"/>
        </w:rPr>
      </w:pPr>
    </w:p>
    <w:p w14:paraId="48FC2067">
      <w:pPr>
        <w:pStyle w:val="12"/>
        <w:spacing w:afterLines="50"/>
        <w:rPr>
          <w:rFonts w:ascii="宋体" w:hAnsi="宋体" w:eastAsia="宋体"/>
          <w:sz w:val="30"/>
        </w:rPr>
      </w:pPr>
    </w:p>
    <w:p w14:paraId="3AADBBB3">
      <w:pPr>
        <w:pStyle w:val="12"/>
        <w:spacing w:afterLines="50"/>
        <w:jc w:val="right"/>
        <w:rPr>
          <w:rFonts w:ascii="宋体" w:hAnsi="宋体" w:eastAsia="宋体"/>
          <w:sz w:val="30"/>
        </w:rPr>
      </w:pPr>
    </w:p>
    <w:p w14:paraId="2B9A144C">
      <w:pPr>
        <w:pStyle w:val="12"/>
        <w:spacing w:afterLines="50"/>
        <w:ind w:firstLine="1350" w:firstLineChars="450"/>
        <w:jc w:val="center"/>
        <w:rPr>
          <w:rFonts w:ascii="仿宋_GB2312" w:hAnsi="宋体" w:eastAsia="仿宋_GB2312"/>
          <w:sz w:val="30"/>
          <w:u w:val="single"/>
        </w:rPr>
      </w:pPr>
      <w:r>
        <w:rPr>
          <w:rFonts w:hint="eastAsia" w:ascii="仿宋_GB2312" w:hAnsi="宋体" w:eastAsia="仿宋_GB2312"/>
          <w:sz w:val="30"/>
        </w:rPr>
        <w:t>项目名称：</w:t>
      </w:r>
      <w:r>
        <w:rPr>
          <w:rFonts w:hint="eastAsia" w:ascii="宋体" w:hAnsi="宋体" w:cs="宋体"/>
          <w:bCs/>
          <w:sz w:val="28"/>
          <w:szCs w:val="28"/>
          <w:u w:val="single"/>
        </w:rPr>
        <w:t>山东</w:t>
      </w:r>
      <w:r>
        <w:rPr>
          <w:rFonts w:hint="eastAsia" w:ascii="宋体" w:hAnsi="宋体" w:cs="宋体"/>
          <w:sz w:val="28"/>
          <w:szCs w:val="28"/>
          <w:u w:val="single"/>
        </w:rPr>
        <w:t>济钢环保新材料有限公司济南市章丘区官庄弓角湾村南建筑石料用灰岩东矿区安全验收评价</w:t>
      </w:r>
    </w:p>
    <w:p w14:paraId="20E7DFF9">
      <w:pPr>
        <w:pStyle w:val="12"/>
        <w:spacing w:afterLines="50"/>
        <w:ind w:firstLine="1350" w:firstLineChars="450"/>
        <w:rPr>
          <w:rFonts w:ascii="仿宋_GB2312" w:hAnsi="宋体" w:eastAsia="仿宋_GB2312"/>
          <w:sz w:val="30"/>
        </w:rPr>
      </w:pPr>
      <w:r>
        <w:rPr>
          <w:rFonts w:hint="eastAsia" w:ascii="仿宋_GB2312" w:hAnsi="宋体" w:eastAsia="仿宋_GB2312"/>
          <w:sz w:val="30"/>
        </w:rPr>
        <w:t>委托方（甲方）：</w:t>
      </w:r>
      <w:r>
        <w:rPr>
          <w:rFonts w:hint="eastAsia" w:ascii="仿宋_GB2312" w:hAnsi="宋体" w:eastAsia="仿宋_GB2312"/>
          <w:sz w:val="30"/>
          <w:u w:val="single"/>
        </w:rPr>
        <w:t xml:space="preserve">  </w:t>
      </w:r>
      <w:r>
        <w:rPr>
          <w:rFonts w:hint="eastAsia" w:ascii="宋体" w:hAnsi="宋体" w:cs="宋体"/>
          <w:sz w:val="28"/>
          <w:szCs w:val="28"/>
          <w:u w:val="single"/>
        </w:rPr>
        <w:t>山东济钢环保新材料有限公司</w:t>
      </w:r>
      <w:r>
        <w:rPr>
          <w:rFonts w:hint="eastAsia" w:ascii="仿宋_GB2312" w:hAnsi="宋体" w:eastAsia="仿宋_GB2312"/>
          <w:sz w:val="30"/>
          <w:u w:val="single"/>
        </w:rPr>
        <w:t xml:space="preserve"> </w:t>
      </w:r>
    </w:p>
    <w:p w14:paraId="70C9DAE1">
      <w:pPr>
        <w:pStyle w:val="12"/>
        <w:spacing w:afterLines="50"/>
        <w:ind w:firstLine="1350" w:firstLineChars="450"/>
        <w:rPr>
          <w:rFonts w:ascii="仿宋_GB2312" w:hAnsi="宋体" w:eastAsia="仿宋_GB2312"/>
          <w:sz w:val="30"/>
        </w:rPr>
      </w:pPr>
      <w:r>
        <w:rPr>
          <w:rFonts w:hint="eastAsia" w:ascii="仿宋_GB2312" w:hAnsi="宋体" w:eastAsia="仿宋_GB2312"/>
          <w:sz w:val="30"/>
        </w:rPr>
        <w:t>受托方（乙方）：</w:t>
      </w:r>
      <w:r>
        <w:rPr>
          <w:rFonts w:hint="eastAsia" w:ascii="仿宋_GB2312" w:hAnsi="宋体" w:eastAsia="仿宋_GB2312"/>
          <w:sz w:val="30"/>
          <w:u w:val="single"/>
        </w:rPr>
        <w:t xml:space="preserve">                   </w:t>
      </w:r>
      <w:r>
        <w:rPr>
          <w:rFonts w:ascii="仿宋_GB2312" w:hAnsi="宋体" w:eastAsia="仿宋_GB2312"/>
          <w:sz w:val="30"/>
          <w:u w:val="single"/>
        </w:rPr>
        <w:t xml:space="preserve">   </w:t>
      </w:r>
      <w:r>
        <w:rPr>
          <w:rFonts w:hint="eastAsia" w:ascii="仿宋_GB2312" w:hAnsi="宋体" w:eastAsia="仿宋_GB2312"/>
          <w:sz w:val="30"/>
          <w:u w:val="single"/>
        </w:rPr>
        <w:t xml:space="preserve">     </w:t>
      </w:r>
    </w:p>
    <w:p w14:paraId="6F44C062">
      <w:pPr>
        <w:pStyle w:val="12"/>
        <w:spacing w:afterLines="50"/>
        <w:ind w:firstLine="1350" w:firstLineChars="450"/>
        <w:rPr>
          <w:rFonts w:ascii="仿宋_GB2312" w:hAnsi="宋体" w:eastAsia="仿宋_GB2312"/>
          <w:sz w:val="30"/>
        </w:rPr>
      </w:pPr>
      <w:r>
        <w:rPr>
          <w:rFonts w:hint="eastAsia" w:ascii="仿宋_GB2312" w:hAnsi="宋体" w:eastAsia="仿宋_GB2312"/>
          <w:sz w:val="30"/>
        </w:rPr>
        <w:t>签订地点：</w:t>
      </w:r>
      <w:r>
        <w:rPr>
          <w:rFonts w:hint="eastAsia" w:ascii="仿宋_GB2312" w:hAnsi="宋体" w:eastAsia="仿宋_GB2312"/>
          <w:sz w:val="30"/>
          <w:u w:val="single"/>
        </w:rPr>
        <w:t xml:space="preserve">                        </w:t>
      </w:r>
      <w:r>
        <w:rPr>
          <w:rFonts w:ascii="仿宋_GB2312" w:hAnsi="宋体" w:eastAsia="仿宋_GB2312"/>
          <w:sz w:val="30"/>
          <w:u w:val="single"/>
        </w:rPr>
        <w:t xml:space="preserve"> </w:t>
      </w:r>
      <w:r>
        <w:rPr>
          <w:rFonts w:hint="eastAsia" w:ascii="仿宋_GB2312" w:hAnsi="宋体" w:eastAsia="仿宋_GB2312"/>
          <w:sz w:val="30"/>
          <w:u w:val="single"/>
        </w:rPr>
        <w:t xml:space="preserve">        </w:t>
      </w:r>
      <w:r>
        <w:rPr>
          <w:rFonts w:hint="eastAsia" w:ascii="仿宋_GB2312" w:hAnsi="宋体" w:eastAsia="仿宋_GB2312"/>
          <w:sz w:val="30"/>
        </w:rPr>
        <w:t xml:space="preserve"> </w:t>
      </w:r>
    </w:p>
    <w:p w14:paraId="3654F56C">
      <w:pPr>
        <w:pStyle w:val="12"/>
        <w:spacing w:afterLines="50"/>
        <w:ind w:firstLine="1350" w:firstLineChars="450"/>
        <w:rPr>
          <w:rFonts w:ascii="仿宋_GB2312" w:hAnsi="宋体" w:eastAsia="仿宋_GB2312"/>
          <w:sz w:val="30"/>
        </w:rPr>
      </w:pPr>
      <w:r>
        <w:rPr>
          <w:rFonts w:hint="eastAsia" w:ascii="仿宋_GB2312" w:hAnsi="宋体" w:eastAsia="仿宋_GB2312"/>
          <w:sz w:val="30"/>
        </w:rPr>
        <w:t>签订日期：</w:t>
      </w:r>
      <w:r>
        <w:rPr>
          <w:rFonts w:ascii="仿宋_GB2312" w:hAnsi="宋体" w:eastAsia="仿宋_GB2312"/>
          <w:sz w:val="30"/>
        </w:rPr>
        <w:t xml:space="preserve">    </w:t>
      </w:r>
      <w:r>
        <w:rPr>
          <w:rFonts w:hint="eastAsia" w:ascii="仿宋_GB2312" w:hAnsi="宋体" w:eastAsia="仿宋_GB2312"/>
          <w:sz w:val="30"/>
          <w:u w:val="single"/>
        </w:rPr>
        <w:t xml:space="preserve">       </w:t>
      </w:r>
      <w:r>
        <w:rPr>
          <w:rFonts w:hint="eastAsia" w:ascii="仿宋_GB2312" w:hAnsi="宋体" w:eastAsia="仿宋_GB2312"/>
          <w:sz w:val="30"/>
        </w:rPr>
        <w:t>年</w:t>
      </w:r>
      <w:r>
        <w:rPr>
          <w:rFonts w:hint="eastAsia" w:ascii="仿宋_GB2312" w:hAnsi="宋体" w:eastAsia="仿宋_GB2312"/>
          <w:sz w:val="30"/>
          <w:u w:val="single"/>
        </w:rPr>
        <w:t xml:space="preserve">      </w:t>
      </w:r>
      <w:r>
        <w:rPr>
          <w:rFonts w:hint="eastAsia" w:ascii="仿宋_GB2312" w:hAnsi="宋体" w:eastAsia="仿宋_GB2312"/>
          <w:sz w:val="30"/>
        </w:rPr>
        <w:t>月</w:t>
      </w:r>
      <w:r>
        <w:rPr>
          <w:rFonts w:hint="eastAsia" w:ascii="仿宋_GB2312" w:hAnsi="宋体" w:eastAsia="仿宋_GB2312"/>
          <w:sz w:val="30"/>
          <w:u w:val="single"/>
        </w:rPr>
        <w:t xml:space="preserve">      </w:t>
      </w:r>
      <w:r>
        <w:rPr>
          <w:rFonts w:hint="eastAsia" w:ascii="仿宋_GB2312" w:hAnsi="宋体" w:eastAsia="仿宋_GB2312"/>
          <w:sz w:val="30"/>
        </w:rPr>
        <w:t>日</w:t>
      </w:r>
    </w:p>
    <w:p w14:paraId="55EEEC2D">
      <w:pPr>
        <w:pStyle w:val="12"/>
        <w:spacing w:afterLines="50"/>
        <w:jc w:val="center"/>
        <w:rPr>
          <w:rFonts w:ascii="楷体" w:hAnsi="楷体" w:eastAsia="楷体" w:cs="楷体"/>
          <w:sz w:val="30"/>
        </w:rPr>
      </w:pPr>
      <w:r>
        <w:rPr>
          <w:rFonts w:hint="eastAsia" w:ascii="楷体" w:hAnsi="楷体" w:eastAsia="楷体" w:cs="楷体"/>
          <w:b/>
          <w:bCs/>
          <w:sz w:val="36"/>
          <w:szCs w:val="36"/>
        </w:rPr>
        <w:t>2025年  月</w:t>
      </w:r>
    </w:p>
    <w:p w14:paraId="730E2E30">
      <w:pPr>
        <w:sectPr>
          <w:footerReference r:id="rId7" w:type="first"/>
          <w:footerReference r:id="rId5" w:type="default"/>
          <w:footerReference r:id="rId6" w:type="even"/>
          <w:pgSz w:w="11906" w:h="16838"/>
          <w:pgMar w:top="1134" w:right="1134" w:bottom="1134" w:left="1134" w:header="851" w:footer="992" w:gutter="0"/>
          <w:pgNumType w:fmt="numberInDash"/>
          <w:cols w:space="720" w:num="1"/>
          <w:docGrid w:type="lines" w:linePitch="312" w:charSpace="0"/>
        </w:sectPr>
      </w:pPr>
    </w:p>
    <w:p w14:paraId="5D872860">
      <w:pPr>
        <w:spacing w:line="520" w:lineRule="exact"/>
        <w:ind w:left="120" w:leftChars="57"/>
        <w:jc w:val="left"/>
        <w:rPr>
          <w:rFonts w:ascii="仿宋_GB2312" w:hAnsi="宋体" w:eastAsia="仿宋_GB2312"/>
          <w:sz w:val="24"/>
        </w:rPr>
      </w:pPr>
      <w:r>
        <w:rPr>
          <w:rFonts w:hint="eastAsia" w:ascii="仿宋_GB2312" w:hAnsi="ˎ̥" w:eastAsia="仿宋_GB2312" w:cs="宋体"/>
          <w:kern w:val="0"/>
          <w:sz w:val="24"/>
        </w:rPr>
        <w:t xml:space="preserve">    </w:t>
      </w:r>
      <w:r>
        <w:rPr>
          <w:rFonts w:hint="eastAsia" w:ascii="仿宋_GB2312" w:hAnsi="宋体" w:eastAsia="仿宋_GB2312"/>
          <w:sz w:val="24"/>
        </w:rPr>
        <w:t>根据《中华人民共和国合同法》有关技术服务合同的规定及相关</w:t>
      </w:r>
      <w:r>
        <w:fldChar w:fldCharType="begin"/>
      </w:r>
      <w:r>
        <w:instrText xml:space="preserve"> HYPERLINK "http://www.jianshe99.com/web/fagui/" \t "_blank" </w:instrText>
      </w:r>
      <w:r>
        <w:fldChar w:fldCharType="separate"/>
      </w:r>
      <w:r>
        <w:rPr>
          <w:rFonts w:hint="eastAsia" w:ascii="仿宋_GB2312" w:eastAsia="仿宋_GB2312"/>
          <w:sz w:val="24"/>
        </w:rPr>
        <w:t>法</w:t>
      </w:r>
      <w:r>
        <w:rPr>
          <w:rFonts w:hint="eastAsia" w:ascii="仿宋_GB2312" w:eastAsia="仿宋_GB2312"/>
          <w:sz w:val="24"/>
        </w:rPr>
        <w:fldChar w:fldCharType="end"/>
      </w:r>
      <w:r>
        <w:fldChar w:fldCharType="begin"/>
      </w:r>
      <w:r>
        <w:instrText xml:space="preserve"> HYPERLINK "http://www.jianshe99.com/web/fagui/" \t "_blank" </w:instrText>
      </w:r>
      <w:r>
        <w:fldChar w:fldCharType="separate"/>
      </w:r>
      <w:r>
        <w:rPr>
          <w:rFonts w:hint="eastAsia" w:ascii="仿宋_GB2312" w:eastAsia="仿宋_GB2312"/>
          <w:sz w:val="24"/>
        </w:rPr>
        <w:t>规</w:t>
      </w:r>
      <w:r>
        <w:rPr>
          <w:rFonts w:hint="eastAsia" w:ascii="仿宋_GB2312" w:eastAsia="仿宋_GB2312"/>
          <w:sz w:val="24"/>
        </w:rPr>
        <w:fldChar w:fldCharType="end"/>
      </w:r>
      <w:r>
        <w:rPr>
          <w:rFonts w:hint="eastAsia" w:ascii="仿宋_GB2312" w:hAnsi="宋体" w:eastAsia="仿宋_GB2312"/>
          <w:sz w:val="24"/>
        </w:rPr>
        <w:t>要求，在真实、充分表达各自意愿的基础上，经双方协商，同意就以下条款订立本合同，并由甲乙双方共同恪守。</w:t>
      </w:r>
    </w:p>
    <w:p w14:paraId="202394A0">
      <w:pPr>
        <w:spacing w:line="520" w:lineRule="exact"/>
        <w:ind w:firstLine="551" w:firstLineChars="197"/>
        <w:rPr>
          <w:rFonts w:ascii="黑体" w:hAnsi="宋体" w:eastAsia="黑体"/>
          <w:sz w:val="28"/>
          <w:szCs w:val="28"/>
        </w:rPr>
      </w:pPr>
      <w:r>
        <w:rPr>
          <w:rFonts w:hint="eastAsia" w:ascii="黑体" w:hAnsi="宋体" w:eastAsia="黑体"/>
          <w:sz w:val="28"/>
          <w:szCs w:val="28"/>
        </w:rPr>
        <w:t>一、安全评价目的、内容、范围及要求</w:t>
      </w:r>
    </w:p>
    <w:p w14:paraId="100B47EE">
      <w:pPr>
        <w:spacing w:line="520" w:lineRule="exact"/>
        <w:ind w:firstLine="480" w:firstLineChars="200"/>
        <w:jc w:val="left"/>
        <w:rPr>
          <w:rFonts w:ascii="仿宋_GB2312" w:hAnsi="宋体" w:eastAsia="仿宋_GB2312"/>
          <w:sz w:val="24"/>
          <w:u w:val="single"/>
        </w:rPr>
      </w:pPr>
      <w:r>
        <w:rPr>
          <w:rFonts w:hint="eastAsia" w:ascii="仿宋_GB2312" w:hAnsi="宋体" w:eastAsia="仿宋_GB2312"/>
          <w:sz w:val="24"/>
        </w:rPr>
        <w:t>第一条 依据《中华人民共和国安全生产法》等法律法规的要求，为贯彻“安全第一，预防为主，综合治理”的方针，提高本质安全化程度，甲方委托乙方对</w:t>
      </w:r>
    </w:p>
    <w:p w14:paraId="2DD9ECDB">
      <w:pPr>
        <w:spacing w:line="520" w:lineRule="exact"/>
        <w:jc w:val="left"/>
        <w:rPr>
          <w:rFonts w:ascii="仿宋_GB2312" w:hAnsi="宋体" w:eastAsia="仿宋_GB2312"/>
          <w:sz w:val="24"/>
        </w:rPr>
      </w:pPr>
      <w:r>
        <w:rPr>
          <w:rFonts w:hint="eastAsia" w:ascii="仿宋_GB2312" w:hAnsi="宋体" w:eastAsia="仿宋_GB2312"/>
          <w:sz w:val="24"/>
          <w:u w:val="single"/>
        </w:rPr>
        <w:t>济南市章丘区官庄弓角湾村南建筑石料用灰岩东矿区</w:t>
      </w:r>
      <w:r>
        <w:rPr>
          <w:rFonts w:hint="eastAsia" w:ascii="仿宋_GB2312" w:hAnsi="宋体" w:eastAsia="仿宋_GB2312"/>
          <w:sz w:val="24"/>
        </w:rPr>
        <w:t>项目进行安全（</w:t>
      </w:r>
      <w:r>
        <w:rPr>
          <w:rFonts w:hint="eastAsia" w:ascii="仿宋_GB2312" w:hAnsi="宋体" w:eastAsia="仿宋_GB2312"/>
          <w:sz w:val="30"/>
          <w:szCs w:val="30"/>
        </w:rPr>
        <w:t>□</w:t>
      </w:r>
      <w:r>
        <w:rPr>
          <w:rFonts w:hint="eastAsia" w:ascii="仿宋_GB2312" w:hAnsi="宋体" w:eastAsia="仿宋_GB2312"/>
          <w:sz w:val="24"/>
        </w:rPr>
        <w:t>预、</w:t>
      </w:r>
      <w:r>
        <w:rPr>
          <w:rFonts w:hint="eastAsia" w:ascii="仿宋_GB2312" w:hAnsi="宋体" w:eastAsia="仿宋_GB2312"/>
          <w:sz w:val="30"/>
          <w:szCs w:val="30"/>
        </w:rPr>
        <w:t>□</w:t>
      </w:r>
      <w:r>
        <w:rPr>
          <w:rFonts w:hint="eastAsia" w:ascii="仿宋_GB2312" w:hAnsi="宋体" w:eastAsia="仿宋_GB2312"/>
          <w:sz w:val="24"/>
        </w:rPr>
        <w:t>现状、</w:t>
      </w:r>
      <w:r>
        <w:rPr>
          <w:rFonts w:ascii="仿宋_GB2312" w:hAnsi="宋体" w:eastAsia="仿宋_GB2312"/>
          <w:sz w:val="30"/>
          <w:szCs w:val="30"/>
        </w:rPr>
        <w:fldChar w:fldCharType="begin"/>
      </w:r>
      <w:r>
        <w:rPr>
          <w:rFonts w:ascii="仿宋_GB2312" w:hAnsi="宋体" w:eastAsia="仿宋_GB2312"/>
          <w:sz w:val="30"/>
          <w:szCs w:val="30"/>
        </w:rPr>
        <w:instrText xml:space="preserve"> </w:instrText>
      </w:r>
      <w:r>
        <w:rPr>
          <w:rFonts w:hint="eastAsia" w:ascii="仿宋_GB2312" w:hAnsi="宋体" w:eastAsia="仿宋_GB2312"/>
          <w:sz w:val="30"/>
          <w:szCs w:val="30"/>
        </w:rPr>
        <w:instrText xml:space="preserve">eq \o\ac(□,</w:instrText>
      </w:r>
      <w:r>
        <w:rPr>
          <w:rFonts w:hint="eastAsia" w:ascii="仿宋_GB2312" w:hAnsi="宋体" w:eastAsia="仿宋_GB2312"/>
          <w:position w:val="2"/>
          <w:szCs w:val="30"/>
        </w:rPr>
        <w:instrText xml:space="preserve">√</w:instrText>
      </w:r>
      <w:r>
        <w:rPr>
          <w:rFonts w:hint="eastAsia" w:ascii="仿宋_GB2312" w:hAnsi="宋体" w:eastAsia="仿宋_GB2312"/>
          <w:sz w:val="30"/>
          <w:szCs w:val="30"/>
        </w:rPr>
        <w:instrText xml:space="preserve">)</w:instrText>
      </w:r>
      <w:r>
        <w:rPr>
          <w:rFonts w:ascii="仿宋_GB2312" w:hAnsi="宋体" w:eastAsia="仿宋_GB2312"/>
          <w:sz w:val="30"/>
          <w:szCs w:val="30"/>
        </w:rPr>
        <w:fldChar w:fldCharType="end"/>
      </w:r>
      <w:r>
        <w:rPr>
          <w:rFonts w:hint="eastAsia" w:ascii="仿宋_GB2312" w:hAnsi="宋体" w:eastAsia="仿宋_GB2312"/>
          <w:sz w:val="24"/>
        </w:rPr>
        <w:t>验收）评价，并开展现场打点及现状图测绘、竣工图纸编制及打印、安全生产许可申报及现场审查等技术服务，甲方向乙方支付相应的技术服务报酬。</w:t>
      </w:r>
    </w:p>
    <w:p w14:paraId="4CE4ECD4">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第二条 安全评价范围包括：</w:t>
      </w:r>
      <w:r>
        <w:rPr>
          <w:rFonts w:hint="eastAsia" w:ascii="仿宋_GB2312" w:hAnsi="宋体" w:eastAsia="仿宋_GB2312"/>
          <w:sz w:val="24"/>
          <w:u w:val="single"/>
        </w:rPr>
        <w:t>采矿许可证批复范围内安全设施设计的开采系统、安全管理系统及其生产辅助系统。</w:t>
      </w:r>
    </w:p>
    <w:p w14:paraId="3CECDC9E">
      <w:pPr>
        <w:numPr>
          <w:ilvl w:val="0"/>
          <w:numId w:val="1"/>
        </w:numPr>
        <w:spacing w:line="520" w:lineRule="exact"/>
        <w:ind w:firstLine="480"/>
        <w:rPr>
          <w:rFonts w:ascii="仿宋_GB2312" w:hAnsi="宋体" w:eastAsia="仿宋_GB2312"/>
          <w:sz w:val="24"/>
        </w:rPr>
      </w:pPr>
      <w:r>
        <w:rPr>
          <w:rFonts w:hint="eastAsia" w:ascii="仿宋_GB2312" w:hAnsi="宋体" w:eastAsia="仿宋_GB2312"/>
          <w:sz w:val="24"/>
        </w:rPr>
        <w:t>安全评价工作要求：安全评价技术服务的基本原则是具备国家规定资质的机构科学、公正和合法地自主开展安全评价技术服务。根据有关法律、规章、文件、标准和安全评价导则等要求，应用安全系统工程的原理和方法，辨识与分析项目可能存在的危险、有害因素的种类和程度，预测发生事故造成伤害的可能性及其严重程度，提出科学、合理、可行的安全对策措施和建议，做出客观、真实的安全评价结论，形成安全评价报告书。</w:t>
      </w:r>
    </w:p>
    <w:p w14:paraId="2F389121">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第四条 甲方提交技术资料、文件的范围和时间</w:t>
      </w:r>
    </w:p>
    <w:p w14:paraId="02C5B406">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甲方应于本合同签订之日起</w:t>
      </w:r>
      <w:r>
        <w:rPr>
          <w:rFonts w:hint="eastAsia" w:ascii="仿宋_GB2312" w:hAnsi="宋体" w:eastAsia="仿宋_GB2312"/>
          <w:sz w:val="24"/>
          <w:u w:val="single"/>
        </w:rPr>
        <w:t xml:space="preserve">  10 </w:t>
      </w:r>
      <w:r>
        <w:rPr>
          <w:rFonts w:hint="eastAsia" w:ascii="仿宋_GB2312" w:hAnsi="宋体" w:eastAsia="仿宋_GB2312"/>
          <w:sz w:val="24"/>
        </w:rPr>
        <w:t>日内根据乙方提供的资料清单向乙方提供安全评价技术服务所需的图纸、技术资料文件、有关检验、检测报告和安全管理文件资料等，以保证安全评价工作的正常进行。</w:t>
      </w:r>
    </w:p>
    <w:p w14:paraId="68B53DA8">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第五条 乙方安全评价工作完成期限</w:t>
      </w:r>
    </w:p>
    <w:p w14:paraId="68AB420E">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（1）自甲方技术资料提交齐全之日起，至安全设施设计工作及现场基建结束后</w:t>
      </w:r>
      <w:r>
        <w:rPr>
          <w:rFonts w:hint="eastAsia" w:ascii="仿宋_GB2312" w:hAnsi="宋体" w:eastAsia="仿宋_GB2312"/>
          <w:sz w:val="24"/>
          <w:u w:val="single"/>
        </w:rPr>
        <w:t xml:space="preserve"> 10 </w:t>
      </w:r>
      <w:r>
        <w:rPr>
          <w:rFonts w:hint="eastAsia" w:ascii="仿宋_GB2312" w:hAnsi="宋体" w:eastAsia="仿宋_GB2312"/>
          <w:sz w:val="24"/>
        </w:rPr>
        <w:t>个工作日内乙方向甲方提交</w:t>
      </w:r>
      <w:r>
        <w:rPr>
          <w:rFonts w:hint="eastAsia" w:ascii="仿宋_GB2312" w:hAnsi="宋体" w:eastAsia="仿宋_GB2312"/>
          <w:sz w:val="24"/>
          <w:u w:val="single"/>
        </w:rPr>
        <w:t xml:space="preserve">  10  </w:t>
      </w:r>
      <w:r>
        <w:rPr>
          <w:rFonts w:hint="eastAsia" w:ascii="仿宋_GB2312" w:hAnsi="宋体" w:eastAsia="仿宋_GB2312"/>
          <w:sz w:val="24"/>
        </w:rPr>
        <w:t>套符合本合同约定的书面《安全验收评价报告》。涉及到需要企业整改的项目，企业整改时间不计算在内。</w:t>
      </w:r>
    </w:p>
    <w:p w14:paraId="7D87BD85">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（2）矿山基建期间提供两次的现场飞图及一次找点；自矿山基建结束后，</w:t>
      </w:r>
      <w:r>
        <w:rPr>
          <w:rFonts w:hint="eastAsia" w:ascii="仿宋_GB2312" w:hAnsi="宋体" w:eastAsia="仿宋_GB2312"/>
          <w:sz w:val="24"/>
          <w:u w:val="single"/>
        </w:rPr>
        <w:t xml:space="preserve">10 </w:t>
      </w:r>
      <w:r>
        <w:rPr>
          <w:rFonts w:hint="eastAsia" w:ascii="仿宋_GB2312" w:hAnsi="宋体" w:eastAsia="仿宋_GB2312"/>
          <w:sz w:val="24"/>
        </w:rPr>
        <w:t>个工作日内乙方向甲方提交</w:t>
      </w:r>
      <w:r>
        <w:rPr>
          <w:rFonts w:hint="eastAsia" w:ascii="仿宋_GB2312" w:hAnsi="宋体" w:eastAsia="仿宋_GB2312"/>
          <w:sz w:val="24"/>
          <w:u w:val="single"/>
        </w:rPr>
        <w:t xml:space="preserve">  10  </w:t>
      </w:r>
      <w:r>
        <w:rPr>
          <w:rFonts w:hint="eastAsia" w:ascii="仿宋_GB2312" w:hAnsi="宋体" w:eastAsia="仿宋_GB2312"/>
          <w:sz w:val="24"/>
        </w:rPr>
        <w:t>套相关竣工图纸。涉及到需要企业整改的项目，企业整改时间不计算在内。</w:t>
      </w:r>
    </w:p>
    <w:p w14:paraId="16EA3ED8">
      <w:pPr>
        <w:spacing w:line="520" w:lineRule="exact"/>
        <w:ind w:firstLine="551" w:firstLineChars="197"/>
        <w:rPr>
          <w:rFonts w:ascii="黑体" w:hAnsi="宋体" w:eastAsia="黑体"/>
          <w:sz w:val="28"/>
          <w:szCs w:val="28"/>
        </w:rPr>
      </w:pPr>
      <w:r>
        <w:rPr>
          <w:rFonts w:hint="eastAsia" w:ascii="黑体" w:hAnsi="宋体" w:eastAsia="黑体"/>
          <w:sz w:val="28"/>
          <w:szCs w:val="28"/>
        </w:rPr>
        <w:t>二、甲方责任与义务</w:t>
      </w:r>
    </w:p>
    <w:p w14:paraId="05191187">
      <w:pPr>
        <w:spacing w:line="520" w:lineRule="exact"/>
        <w:ind w:firstLine="480" w:firstLineChars="200"/>
        <w:rPr>
          <w:rFonts w:ascii="仿宋_GB2312" w:hAnsi="宋体" w:eastAsia="仿宋_GB2312"/>
          <w:sz w:val="24"/>
        </w:rPr>
      </w:pPr>
      <w:r>
        <w:rPr>
          <w:rFonts w:hint="eastAsia" w:ascii="仿宋_GB2312" w:hAnsi="宋体" w:eastAsia="仿宋_GB2312"/>
          <w:sz w:val="24"/>
        </w:rPr>
        <w:t>第六条 甲方应当保证乙方技术服务工作的自主和公正，积极配合乙方开展安全评价工作，为乙方到现场开展评价工作的有关人员提供相关工作便利条件以及作业现场应有的劳动保护条件。</w:t>
      </w:r>
    </w:p>
    <w:p w14:paraId="7E34E55F">
      <w:pPr>
        <w:spacing w:line="520" w:lineRule="exact"/>
        <w:ind w:firstLine="480" w:firstLineChars="200"/>
        <w:rPr>
          <w:rFonts w:ascii="仿宋_GB2312" w:hAnsi="宋体" w:eastAsia="仿宋_GB2312"/>
          <w:sz w:val="24"/>
        </w:rPr>
      </w:pPr>
      <w:r>
        <w:rPr>
          <w:rFonts w:hint="eastAsia" w:ascii="仿宋_GB2312" w:hAnsi="宋体" w:eastAsia="仿宋_GB2312"/>
          <w:sz w:val="24"/>
        </w:rPr>
        <w:t>第七条 甲方应在合同约定时间内向乙方提供开展安全评价所需的相关资料，并保证所提供资料的真实、可靠和及时，否则由此产生的技术服务工作错误或延期由甲方负责，由此产生的法律责任和造成的损失均由甲方承担。</w:t>
      </w:r>
    </w:p>
    <w:p w14:paraId="19AC1BAD">
      <w:pPr>
        <w:spacing w:line="520" w:lineRule="exact"/>
        <w:ind w:firstLine="480" w:firstLineChars="200"/>
        <w:rPr>
          <w:rFonts w:ascii="仿宋_GB2312" w:hAnsi="宋体" w:eastAsia="仿宋_GB2312"/>
          <w:sz w:val="24"/>
        </w:rPr>
      </w:pPr>
      <w:r>
        <w:rPr>
          <w:rFonts w:hint="eastAsia" w:ascii="仿宋_GB2312" w:hAnsi="宋体" w:eastAsia="仿宋_GB2312"/>
          <w:sz w:val="24"/>
        </w:rPr>
        <w:t>第八条 选派专人负责配合评价组的工作，陪同评价组进行初访、现场考察、检查、核查、回访等的相关工作，及时交换意见，并在评价组工作记录及文件上签字。</w:t>
      </w:r>
    </w:p>
    <w:p w14:paraId="6D3EDF0B">
      <w:pPr>
        <w:spacing w:line="520" w:lineRule="exact"/>
        <w:ind w:firstLine="480" w:firstLineChars="200"/>
        <w:rPr>
          <w:rFonts w:ascii="仿宋_GB2312" w:hAnsi="宋体" w:eastAsia="仿宋_GB2312"/>
          <w:sz w:val="24"/>
        </w:rPr>
      </w:pPr>
      <w:r>
        <w:rPr>
          <w:rFonts w:hint="eastAsia" w:ascii="仿宋_GB2312" w:hAnsi="宋体" w:eastAsia="仿宋_GB2312"/>
          <w:sz w:val="24"/>
        </w:rPr>
        <w:t>第九条 甲方应按乙方要求对安全评价过程中评价组提出的隐患和问题进行整改。</w:t>
      </w:r>
    </w:p>
    <w:p w14:paraId="680836C3">
      <w:pPr>
        <w:spacing w:line="520" w:lineRule="exact"/>
        <w:ind w:firstLine="480" w:firstLineChars="200"/>
        <w:rPr>
          <w:rFonts w:ascii="仿宋_GB2312" w:hAnsi="宋体" w:eastAsia="仿宋_GB2312"/>
          <w:sz w:val="24"/>
        </w:rPr>
      </w:pPr>
      <w:r>
        <w:rPr>
          <w:rFonts w:hint="eastAsia" w:ascii="仿宋_GB2312" w:hAnsi="宋体" w:eastAsia="仿宋_GB2312"/>
          <w:sz w:val="24"/>
        </w:rPr>
        <w:t>第十条 需要评审的项目甲方应根据评审专家组提出的问题进行整改，如果因甲方不及时整改导致乙方不能按期提交最终评价报告，乙方不承担责任。</w:t>
      </w:r>
    </w:p>
    <w:p w14:paraId="1FDAC01B">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第十一条 安全评价报告的法律效力按照国家有关规定执行，在报告有效期内甲方不应随意更改项目的各项安全条件，如有必要更改，甲方应按规定办理变更手续，原评价报告自动失效，如需重新进行评价或对报告进行重新修改，甲方应相应增加评价费用或重新委托。</w:t>
      </w:r>
    </w:p>
    <w:p w14:paraId="77927233">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第十二条 甲方应在乙方完成评价工作后按合同约定支付安全评价技术服务费，不得要求乙方以保证评价报告给出合格结论作为支付费用的前提条件。</w:t>
      </w:r>
    </w:p>
    <w:p w14:paraId="4DE87BD5">
      <w:pPr>
        <w:spacing w:line="520" w:lineRule="exact"/>
        <w:ind w:firstLine="480" w:firstLineChars="200"/>
        <w:rPr>
          <w:rFonts w:ascii="仿宋_GB2312" w:hAnsi="宋体" w:eastAsia="仿宋_GB2312"/>
          <w:sz w:val="24"/>
        </w:rPr>
      </w:pPr>
      <w:r>
        <w:rPr>
          <w:rFonts w:hint="eastAsia" w:ascii="仿宋_GB2312" w:hAnsi="宋体" w:eastAsia="仿宋_GB2312"/>
          <w:sz w:val="24"/>
        </w:rPr>
        <w:t>第十三条 甲方必须做好乙方安全评价报告书等有关文件的保密工作，不得向无关单位或人员提供。</w:t>
      </w:r>
    </w:p>
    <w:p w14:paraId="4D156DF8">
      <w:pPr>
        <w:spacing w:line="520" w:lineRule="exact"/>
        <w:ind w:firstLine="551" w:firstLineChars="197"/>
        <w:rPr>
          <w:rFonts w:ascii="黑体" w:hAnsi="宋体" w:eastAsia="黑体"/>
          <w:sz w:val="28"/>
          <w:szCs w:val="28"/>
        </w:rPr>
      </w:pPr>
      <w:r>
        <w:rPr>
          <w:rFonts w:hint="eastAsia" w:ascii="黑体" w:hAnsi="宋体" w:eastAsia="黑体"/>
          <w:sz w:val="28"/>
          <w:szCs w:val="28"/>
        </w:rPr>
        <w:t>三、乙方责任与义务</w:t>
      </w:r>
    </w:p>
    <w:p w14:paraId="1BD19A05">
      <w:pPr>
        <w:spacing w:line="520" w:lineRule="exact"/>
        <w:ind w:firstLine="480" w:firstLineChars="200"/>
        <w:rPr>
          <w:rFonts w:ascii="仿宋_GB2312" w:hAnsi="宋体" w:eastAsia="仿宋_GB2312"/>
          <w:sz w:val="24"/>
        </w:rPr>
      </w:pPr>
      <w:r>
        <w:rPr>
          <w:rFonts w:hint="eastAsia" w:ascii="仿宋_GB2312" w:hAnsi="宋体" w:eastAsia="仿宋_GB2312"/>
          <w:sz w:val="24"/>
        </w:rPr>
        <w:t>第十四条 乙方应具有符合本项目要求的安全评价资质条件，评价组中专职安全评价师的配备数量和专业应满足本项目要求，确保具备实施评价的资质和专业技能。</w:t>
      </w:r>
    </w:p>
    <w:p w14:paraId="4E24412C">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第十五条 应在甲方提供的资料齐全后，依据合同约定的评价目标、内容及范围开展安全评价工作，在合同约定时间内向甲方提交客观、公正且符合相应评价规范要求的安全评价报告，并对评价结果真实性、合法性负责。如发现甲方提供的资料等不符合评价要求，应及时通知甲方补充、更改或完善。</w:t>
      </w:r>
    </w:p>
    <w:p w14:paraId="6CCEDC38">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 xml:space="preserve">第十六条 在评价过程中发现的安全隐患，应以书面的形式通知甲方，并提出整改措施和方案。 </w:t>
      </w:r>
    </w:p>
    <w:p w14:paraId="693C4130">
      <w:pPr>
        <w:spacing w:line="520" w:lineRule="exact"/>
        <w:ind w:firstLine="480" w:firstLineChars="200"/>
        <w:jc w:val="left"/>
        <w:rPr>
          <w:rFonts w:ascii="仿宋_GB2312" w:hAnsi="宋体" w:eastAsia="仿宋_GB2312"/>
          <w:sz w:val="24"/>
        </w:rPr>
      </w:pPr>
      <w:r>
        <w:rPr>
          <w:rFonts w:hint="eastAsia" w:ascii="仿宋_GB2312" w:hAnsi="宋体" w:eastAsia="仿宋_GB2312"/>
          <w:sz w:val="24"/>
        </w:rPr>
        <w:t>第十七条 项目需要进行评审时，应配合甲方做好评审过程中的有关事宜。项目评审后，乙方应根据评审意见和甲方整改情况及时修改完善安全评价报告。</w:t>
      </w:r>
    </w:p>
    <w:p w14:paraId="45A91C0E">
      <w:pPr>
        <w:spacing w:line="520" w:lineRule="exact"/>
        <w:ind w:firstLine="480" w:firstLineChars="200"/>
        <w:rPr>
          <w:rFonts w:ascii="仿宋_GB2312" w:hAnsi="宋体" w:eastAsia="仿宋_GB2312"/>
          <w:sz w:val="24"/>
        </w:rPr>
      </w:pPr>
      <w:r>
        <w:rPr>
          <w:rFonts w:hint="eastAsia" w:ascii="仿宋_GB2312" w:hAnsi="宋体" w:eastAsia="仿宋_GB2312"/>
          <w:sz w:val="24"/>
        </w:rPr>
        <w:t>第十八条 遵守国家法律和职业道德，信守为甲方保密的承诺，不得将甲方技术资料以任何方式泄露给第三方，无论合同是否变更、解除及终止，乙方均应承担保密义务。如因工作需要，需向第三方提供时，应提前征得甲方同意，否则乙方应对因此造成的一切后果负责。但以下情况除外：</w:t>
      </w:r>
    </w:p>
    <w:p w14:paraId="2C84CFA2">
      <w:pPr>
        <w:spacing w:line="520" w:lineRule="exact"/>
        <w:ind w:firstLine="600" w:firstLineChars="250"/>
        <w:rPr>
          <w:rFonts w:ascii="仿宋_GB2312" w:hAnsi="宋体" w:eastAsia="仿宋_GB2312"/>
          <w:sz w:val="24"/>
        </w:rPr>
      </w:pPr>
      <w:r>
        <w:rPr>
          <w:rFonts w:hint="eastAsia" w:ascii="仿宋_GB2312" w:hAnsi="宋体" w:eastAsia="仿宋_GB2312"/>
          <w:sz w:val="24"/>
        </w:rPr>
        <w:t>1、甲方已公开的资料；</w:t>
      </w:r>
    </w:p>
    <w:p w14:paraId="57E27B4C">
      <w:pPr>
        <w:spacing w:line="520" w:lineRule="exact"/>
        <w:ind w:firstLine="600" w:firstLineChars="250"/>
        <w:rPr>
          <w:rFonts w:ascii="仿宋_GB2312" w:hAnsi="宋体" w:eastAsia="仿宋_GB2312"/>
          <w:sz w:val="24"/>
        </w:rPr>
      </w:pPr>
      <w:r>
        <w:rPr>
          <w:rFonts w:hint="eastAsia" w:ascii="仿宋_GB2312" w:hAnsi="宋体" w:eastAsia="仿宋_GB2312"/>
          <w:sz w:val="24"/>
        </w:rPr>
        <w:t>2、法律另有要求的；</w:t>
      </w:r>
    </w:p>
    <w:p w14:paraId="15296B11">
      <w:pPr>
        <w:spacing w:line="520" w:lineRule="exact"/>
        <w:ind w:firstLine="600" w:firstLineChars="250"/>
        <w:jc w:val="left"/>
        <w:rPr>
          <w:rFonts w:ascii="仿宋_GB2312" w:hAnsi="宋体" w:eastAsia="仿宋_GB2312"/>
          <w:sz w:val="24"/>
        </w:rPr>
      </w:pPr>
      <w:r>
        <w:rPr>
          <w:rFonts w:hint="eastAsia" w:ascii="仿宋_GB2312" w:hAnsi="宋体" w:eastAsia="仿宋_GB2312"/>
          <w:sz w:val="24"/>
        </w:rPr>
        <w:t>3、政府主管部门要求的（事先征得甲方同意）。</w:t>
      </w:r>
    </w:p>
    <w:p w14:paraId="03551145">
      <w:pPr>
        <w:spacing w:line="520" w:lineRule="exact"/>
        <w:ind w:firstLine="551" w:firstLineChars="197"/>
        <w:rPr>
          <w:rFonts w:ascii="黑体" w:hAnsi="宋体" w:eastAsia="黑体"/>
          <w:sz w:val="28"/>
          <w:szCs w:val="28"/>
        </w:rPr>
      </w:pPr>
      <w:r>
        <w:rPr>
          <w:rFonts w:hint="eastAsia" w:ascii="黑体" w:hAnsi="宋体" w:eastAsia="黑体"/>
          <w:sz w:val="28"/>
          <w:szCs w:val="28"/>
        </w:rPr>
        <w:t xml:space="preserve">四、服务报酬及支付方式 </w:t>
      </w:r>
    </w:p>
    <w:p w14:paraId="260C3829">
      <w:pPr>
        <w:spacing w:line="520" w:lineRule="exact"/>
        <w:ind w:firstLine="480" w:firstLineChars="200"/>
        <w:rPr>
          <w:rFonts w:ascii="仿宋_GB2312" w:hAnsi="宋体" w:eastAsia="仿宋_GB2312"/>
          <w:sz w:val="24"/>
        </w:rPr>
      </w:pPr>
      <w:r>
        <w:rPr>
          <w:rFonts w:hint="eastAsia" w:ascii="仿宋_GB2312" w:hAnsi="宋体" w:eastAsia="仿宋_GB2312"/>
          <w:sz w:val="24"/>
        </w:rPr>
        <w:t>第十九条 根据现行山东省安全评价收费标准及行业自律规定，经双方协商，确定本次安全评价服务费用为含税价人民币</w:t>
      </w:r>
      <w:r>
        <w:rPr>
          <w:rFonts w:hint="eastAsia" w:ascii="仿宋_GB2312" w:hAnsi="宋体" w:eastAsia="仿宋_GB2312"/>
          <w:sz w:val="24"/>
          <w:u w:val="single"/>
        </w:rPr>
        <w:t xml:space="preserve">           </w:t>
      </w:r>
      <w:r>
        <w:rPr>
          <w:rFonts w:hint="eastAsia" w:ascii="仿宋_GB2312" w:hAnsi="宋体" w:eastAsia="仿宋_GB2312"/>
          <w:sz w:val="24"/>
        </w:rPr>
        <w:t>元，大写：</w:t>
      </w:r>
      <w:r>
        <w:rPr>
          <w:rFonts w:hint="eastAsia" w:ascii="仿宋_GB2312" w:hAnsi="宋体" w:eastAsia="仿宋_GB2312"/>
          <w:sz w:val="24"/>
          <w:u w:val="single"/>
        </w:rPr>
        <w:t xml:space="preserve">          。</w:t>
      </w:r>
      <w:r>
        <w:rPr>
          <w:rFonts w:hint="eastAsia" w:ascii="仿宋_GB2312" w:hAnsi="宋体" w:eastAsia="仿宋_GB2312"/>
          <w:sz w:val="24"/>
        </w:rPr>
        <w:t>如遇国家税率变动，以最新税法规定为准。支付方式：电汇。包含图纸绘制及打印费、安全验收报告编制费、专家费、税金、其他费用等。</w:t>
      </w:r>
    </w:p>
    <w:p w14:paraId="334BCAA8">
      <w:pPr>
        <w:spacing w:line="520" w:lineRule="exact"/>
        <w:ind w:firstLine="480" w:firstLineChars="200"/>
        <w:rPr>
          <w:rFonts w:ascii="仿宋_GB2312" w:hAnsi="宋体" w:eastAsia="仿宋_GB2312"/>
          <w:sz w:val="24"/>
        </w:rPr>
      </w:pPr>
      <w:r>
        <w:rPr>
          <w:rFonts w:hint="eastAsia" w:ascii="仿宋_GB2312" w:hAnsi="宋体" w:eastAsia="仿宋_GB2312"/>
          <w:sz w:val="24"/>
        </w:rPr>
        <w:t>第二十条 全部工作进行完毕，安全验收评价报告及相关竣工图纸提交甲方，甲方取得《安全生产许可证》后，甲方向乙方一次性全额支付服务费，即人民币</w:t>
      </w:r>
      <w:r>
        <w:rPr>
          <w:rFonts w:hint="eastAsia" w:ascii="仿宋_GB2312" w:hAnsi="宋体" w:eastAsia="仿宋_GB2312"/>
          <w:sz w:val="24"/>
          <w:u w:val="single"/>
        </w:rPr>
        <w:t xml:space="preserve">   </w:t>
      </w:r>
      <w:r>
        <w:rPr>
          <w:rFonts w:hint="eastAsia" w:ascii="仿宋_GB2312" w:hAnsi="宋体" w:eastAsia="仿宋_GB2312"/>
          <w:sz w:val="24"/>
        </w:rPr>
        <w:t>元（大写：</w:t>
      </w:r>
      <w:r>
        <w:rPr>
          <w:rFonts w:hint="eastAsia" w:ascii="仿宋_GB2312" w:hAnsi="宋体" w:eastAsia="仿宋_GB2312"/>
          <w:sz w:val="24"/>
          <w:u w:val="single"/>
        </w:rPr>
        <w:t xml:space="preserve">        ）</w:t>
      </w:r>
      <w:r>
        <w:rPr>
          <w:rFonts w:hint="eastAsia" w:ascii="仿宋_GB2312" w:hAnsi="宋体" w:eastAsia="仿宋_GB2312"/>
          <w:sz w:val="24"/>
        </w:rPr>
        <w:t>。甲方付款前，乙方向甲方提供符合财务要求的增值税专用发票，乙方逾期提供发票或发票不符合要求的，甲方付款时间相应顺延。</w:t>
      </w:r>
    </w:p>
    <w:p w14:paraId="07098355">
      <w:pPr>
        <w:spacing w:line="520" w:lineRule="exact"/>
        <w:ind w:firstLine="480" w:firstLineChars="200"/>
        <w:rPr>
          <w:rFonts w:ascii="仿宋_GB2312" w:hAnsi="宋体" w:eastAsia="仿宋_GB2312"/>
          <w:sz w:val="24"/>
          <w:u w:val="single"/>
        </w:rPr>
      </w:pPr>
      <w:r>
        <w:rPr>
          <w:rFonts w:hint="eastAsia" w:ascii="仿宋_GB2312" w:hAnsi="宋体" w:eastAsia="仿宋_GB2312"/>
          <w:sz w:val="24"/>
        </w:rPr>
        <w:t>乙方开户银行：</w:t>
      </w:r>
      <w:r>
        <w:rPr>
          <w:rFonts w:hint="eastAsia" w:ascii="仿宋_GB2312" w:hAnsi="宋体" w:eastAsia="仿宋_GB2312"/>
          <w:sz w:val="24"/>
          <w:u w:val="single"/>
        </w:rPr>
        <w:t xml:space="preserve">                                           </w:t>
      </w:r>
    </w:p>
    <w:p w14:paraId="2E706132">
      <w:pPr>
        <w:spacing w:line="520" w:lineRule="exact"/>
        <w:ind w:firstLine="480" w:firstLineChars="200"/>
        <w:rPr>
          <w:rFonts w:ascii="仿宋_GB2312" w:hAnsi="宋体" w:eastAsia="仿宋_GB2312"/>
          <w:sz w:val="24"/>
        </w:rPr>
      </w:pPr>
      <w:r>
        <w:rPr>
          <w:rFonts w:hint="eastAsia" w:ascii="仿宋_GB2312" w:hAnsi="宋体" w:eastAsia="仿宋_GB2312"/>
          <w:sz w:val="24"/>
        </w:rPr>
        <w:t>乙方开户帐号：</w:t>
      </w:r>
      <w:r>
        <w:rPr>
          <w:rFonts w:hint="eastAsia" w:ascii="仿宋_GB2312" w:hAnsi="宋体" w:eastAsia="仿宋_GB2312"/>
          <w:sz w:val="24"/>
          <w:u w:val="single"/>
        </w:rPr>
        <w:t xml:space="preserve">                                           </w:t>
      </w:r>
    </w:p>
    <w:p w14:paraId="63CC66CA">
      <w:pPr>
        <w:spacing w:line="520" w:lineRule="exact"/>
        <w:ind w:firstLine="560" w:firstLineChars="200"/>
        <w:rPr>
          <w:rFonts w:ascii="黑体" w:hAnsi="宋体" w:eastAsia="黑体"/>
          <w:sz w:val="28"/>
          <w:szCs w:val="28"/>
        </w:rPr>
      </w:pPr>
      <w:r>
        <w:rPr>
          <w:rFonts w:hint="eastAsia" w:ascii="黑体" w:hAnsi="宋体" w:eastAsia="黑体"/>
          <w:sz w:val="28"/>
          <w:szCs w:val="28"/>
        </w:rPr>
        <w:t>五、违约责任</w:t>
      </w:r>
    </w:p>
    <w:p w14:paraId="147F3013">
      <w:pPr>
        <w:spacing w:line="520" w:lineRule="exact"/>
        <w:ind w:firstLine="480" w:firstLineChars="200"/>
        <w:rPr>
          <w:rFonts w:ascii="仿宋_GB2312" w:hAnsi="宋体" w:eastAsia="仿宋_GB2312"/>
          <w:sz w:val="24"/>
        </w:rPr>
      </w:pPr>
      <w:r>
        <w:rPr>
          <w:rFonts w:hint="eastAsia" w:ascii="仿宋_GB2312" w:hAnsi="宋体" w:eastAsia="仿宋_GB2312"/>
          <w:sz w:val="24"/>
        </w:rPr>
        <w:t>第二十一条 双方按以下约定承担各自的违约责任：</w:t>
      </w:r>
    </w:p>
    <w:p w14:paraId="2A6302FF">
      <w:pPr>
        <w:spacing w:line="520" w:lineRule="exact"/>
        <w:ind w:firstLine="480" w:firstLineChars="200"/>
        <w:rPr>
          <w:rFonts w:ascii="仿宋_GB2312" w:hAnsi="宋体" w:eastAsia="仿宋_GB2312"/>
          <w:sz w:val="24"/>
        </w:rPr>
      </w:pPr>
      <w:r>
        <w:rPr>
          <w:rFonts w:hint="eastAsia" w:ascii="仿宋_GB2312" w:hAnsi="宋体" w:eastAsia="仿宋_GB2312"/>
          <w:sz w:val="24"/>
        </w:rPr>
        <w:t>1．乙方违反本合同有关期限约定的，每延期一天，按合同价款的5‰向甲方赔偿损失；乙方在接到甲方提供的安全评价资料之日起三个月内无故不开展安全评价工作的，甲方有权解除合同，乙方应返还已收的前期费用，并支付合同价款10%的违约金。因甲方原因导致乙方不能开展评价工作的除外。</w:t>
      </w:r>
    </w:p>
    <w:p w14:paraId="1D473A2A">
      <w:pPr>
        <w:spacing w:line="520" w:lineRule="exact"/>
        <w:ind w:firstLine="480" w:firstLineChars="200"/>
        <w:rPr>
          <w:rFonts w:ascii="仿宋_GB2312" w:hAnsi="宋体" w:eastAsia="仿宋_GB2312"/>
          <w:sz w:val="24"/>
        </w:rPr>
      </w:pPr>
      <w:r>
        <w:rPr>
          <w:rFonts w:hint="eastAsia" w:ascii="仿宋_GB2312" w:hAnsi="宋体" w:eastAsia="仿宋_GB2312"/>
          <w:sz w:val="24"/>
        </w:rPr>
        <w:t>2．甲方违反本合同有关期限约定的，乙方有权按甲方提供资料的时间顺延服务期限。</w:t>
      </w:r>
    </w:p>
    <w:p w14:paraId="02E5E89B">
      <w:pPr>
        <w:spacing w:line="520" w:lineRule="exact"/>
        <w:ind w:firstLine="480" w:firstLineChars="200"/>
        <w:rPr>
          <w:rFonts w:ascii="仿宋_GB2312" w:hAnsi="宋体" w:eastAsia="仿宋_GB2312"/>
          <w:sz w:val="24"/>
        </w:rPr>
      </w:pPr>
      <w:r>
        <w:rPr>
          <w:rFonts w:hint="eastAsia" w:ascii="仿宋_GB2312" w:hAnsi="宋体" w:eastAsia="仿宋_GB2312"/>
          <w:sz w:val="24"/>
        </w:rPr>
        <w:t>3．由于甲方提供的评价相关资料存在缺陷、不真实、虚假以及承诺的现场隐患整改未进行，导致安全评价报告审查不通过的，应由甲方承担全部责任，并不得以审查不通过为由拒绝支付合同款项。因甲方原因导致评价报告重新编写的，乙方有权要求甲方增加相应报酬。</w:t>
      </w:r>
    </w:p>
    <w:p w14:paraId="2D0DA292">
      <w:pPr>
        <w:spacing w:line="520" w:lineRule="exact"/>
        <w:ind w:firstLine="480" w:firstLineChars="200"/>
        <w:rPr>
          <w:rFonts w:ascii="仿宋_GB2312" w:hAnsi="宋体" w:eastAsia="仿宋_GB2312"/>
          <w:sz w:val="24"/>
        </w:rPr>
      </w:pPr>
      <w:r>
        <w:rPr>
          <w:rFonts w:hint="eastAsia" w:ascii="仿宋_GB2312" w:hAnsi="宋体" w:eastAsia="仿宋_GB2312"/>
          <w:sz w:val="24"/>
        </w:rPr>
        <w:t>4．如乙方提交的评价报告质量达不到技术要求，乙方应及时予以修改完善，增加的费用由乙方自理，经修改后的报告仍达不到要求，甲方有权解除合同，乙方应返还已收取的服务费。</w:t>
      </w:r>
    </w:p>
    <w:p w14:paraId="672F5ADA">
      <w:pPr>
        <w:spacing w:line="520" w:lineRule="exact"/>
        <w:ind w:firstLine="480" w:firstLineChars="200"/>
        <w:rPr>
          <w:rFonts w:ascii="仿宋_GB2312" w:hAnsi="宋体" w:eastAsia="仿宋_GB2312"/>
          <w:sz w:val="24"/>
        </w:rPr>
      </w:pPr>
      <w:r>
        <w:rPr>
          <w:rFonts w:hint="eastAsia" w:ascii="仿宋_GB2312" w:hAnsi="宋体" w:eastAsia="仿宋_GB2312"/>
          <w:sz w:val="24"/>
        </w:rPr>
        <w:t>5．若一方变更项目联系人的，应当及时以书面形式通知另一方。未及时通知并影响本合同履行或造成损失的，应承担相应的责任。</w:t>
      </w:r>
    </w:p>
    <w:p w14:paraId="45855068">
      <w:pPr>
        <w:spacing w:line="520" w:lineRule="exact"/>
        <w:ind w:firstLine="480" w:firstLineChars="200"/>
        <w:rPr>
          <w:rFonts w:ascii="仿宋_GB2312" w:hAnsi="宋体" w:eastAsia="仿宋_GB2312"/>
          <w:sz w:val="24"/>
        </w:rPr>
      </w:pPr>
      <w:r>
        <w:rPr>
          <w:rFonts w:hint="eastAsia" w:ascii="仿宋_GB2312" w:hAnsi="宋体" w:eastAsia="仿宋_GB2312"/>
          <w:sz w:val="24"/>
        </w:rPr>
        <w:t>6、在安全评价服务工作结束后，因甲方安全生产条件发生变化从而与乙方出具的安全评价报告内容不符所造成的损失，乙方不承担责任。</w:t>
      </w:r>
    </w:p>
    <w:p w14:paraId="6ED55A26">
      <w:pPr>
        <w:spacing w:line="520" w:lineRule="exact"/>
        <w:ind w:firstLine="551" w:firstLineChars="197"/>
        <w:rPr>
          <w:rFonts w:ascii="黑体" w:hAnsi="宋体" w:eastAsia="黑体"/>
          <w:sz w:val="28"/>
          <w:szCs w:val="28"/>
        </w:rPr>
      </w:pPr>
      <w:r>
        <w:rPr>
          <w:rFonts w:hint="eastAsia" w:ascii="黑体" w:hAnsi="宋体" w:eastAsia="黑体"/>
          <w:sz w:val="28"/>
          <w:szCs w:val="28"/>
        </w:rPr>
        <w:t>六、合同争议</w:t>
      </w:r>
    </w:p>
    <w:p w14:paraId="3CBEC5EE">
      <w:pPr>
        <w:spacing w:line="520" w:lineRule="exact"/>
        <w:ind w:firstLine="480" w:firstLineChars="200"/>
        <w:rPr>
          <w:rFonts w:ascii="仿宋_GB2312" w:hAnsi="宋体" w:eastAsia="仿宋_GB2312"/>
          <w:sz w:val="24"/>
        </w:rPr>
      </w:pPr>
      <w:r>
        <w:rPr>
          <w:rFonts w:hint="eastAsia" w:ascii="仿宋_GB2312" w:hAnsi="宋体" w:eastAsia="仿宋_GB2312"/>
          <w:sz w:val="24"/>
        </w:rPr>
        <w:t>第二十二条 本合同在履行的过程中如出现争议，双方应本着平等自愿的原则，按合同约定分清各自的责任，采用协商的办法解决争议；协商不成，按下列第</w:t>
      </w:r>
      <w:r>
        <w:rPr>
          <w:rFonts w:hint="eastAsia" w:ascii="仿宋_GB2312" w:hAnsi="宋体" w:eastAsia="仿宋_GB2312"/>
          <w:sz w:val="24"/>
          <w:u w:val="single"/>
        </w:rPr>
        <w:t xml:space="preserve"> 2 </w:t>
      </w:r>
      <w:r>
        <w:rPr>
          <w:rFonts w:hint="eastAsia" w:ascii="仿宋_GB2312" w:hAnsi="宋体" w:eastAsia="仿宋_GB2312"/>
          <w:sz w:val="24"/>
        </w:rPr>
        <w:t>种方式解决（注：只能选择一种方式）</w:t>
      </w:r>
    </w:p>
    <w:p w14:paraId="62095AB3">
      <w:pPr>
        <w:spacing w:line="520" w:lineRule="exact"/>
        <w:rPr>
          <w:rFonts w:ascii="仿宋_GB2312" w:hAnsi="宋体" w:eastAsia="仿宋_GB2312"/>
          <w:sz w:val="24"/>
        </w:rPr>
      </w:pPr>
      <w:r>
        <w:rPr>
          <w:rFonts w:hint="eastAsia" w:ascii="仿宋_GB2312" w:hAnsi="宋体" w:eastAsia="仿宋_GB2312"/>
          <w:sz w:val="24"/>
        </w:rPr>
        <w:t>　　1．提交</w:t>
      </w:r>
      <w:r>
        <w:rPr>
          <w:rFonts w:hint="eastAsia" w:ascii="仿宋_GB2312" w:hAnsi="宋体" w:eastAsia="仿宋_GB2312"/>
          <w:sz w:val="24"/>
          <w:u w:val="single"/>
        </w:rPr>
        <w:t xml:space="preserve">                          </w:t>
      </w:r>
      <w:r>
        <w:rPr>
          <w:rFonts w:hint="eastAsia" w:ascii="仿宋_GB2312" w:hAnsi="宋体" w:eastAsia="仿宋_GB2312"/>
          <w:sz w:val="24"/>
        </w:rPr>
        <w:t>仲裁委员会仲裁。</w:t>
      </w:r>
    </w:p>
    <w:p w14:paraId="04919995">
      <w:pPr>
        <w:spacing w:line="520" w:lineRule="exact"/>
        <w:ind w:firstLine="480" w:firstLineChars="200"/>
        <w:rPr>
          <w:rFonts w:ascii="仿宋_GB2312" w:hAnsi="宋体" w:eastAsia="仿宋_GB2312"/>
          <w:sz w:val="24"/>
        </w:rPr>
      </w:pPr>
      <w:r>
        <w:rPr>
          <w:rFonts w:hint="eastAsia" w:ascii="仿宋_GB2312" w:hAnsi="宋体" w:eastAsia="仿宋_GB2312"/>
          <w:sz w:val="24"/>
        </w:rPr>
        <w:t>2．依法向</w:t>
      </w:r>
      <w:r>
        <w:rPr>
          <w:rFonts w:hint="eastAsia" w:ascii="仿宋_GB2312" w:hAnsi="宋体" w:eastAsia="仿宋_GB2312"/>
          <w:sz w:val="24"/>
          <w:u w:val="single"/>
        </w:rPr>
        <w:t xml:space="preserve">     合同签订地        </w:t>
      </w:r>
      <w:r>
        <w:rPr>
          <w:rFonts w:hint="eastAsia" w:ascii="仿宋_GB2312" w:hAnsi="宋体" w:eastAsia="仿宋_GB2312"/>
          <w:sz w:val="24"/>
        </w:rPr>
        <w:t>人民法院起诉。</w:t>
      </w:r>
    </w:p>
    <w:p w14:paraId="19419A76">
      <w:pPr>
        <w:spacing w:line="520" w:lineRule="exact"/>
        <w:ind w:firstLine="560" w:firstLineChars="200"/>
        <w:rPr>
          <w:rFonts w:ascii="黑体" w:hAnsi="宋体" w:eastAsia="黑体"/>
          <w:sz w:val="28"/>
          <w:szCs w:val="28"/>
        </w:rPr>
      </w:pPr>
      <w:r>
        <w:rPr>
          <w:rFonts w:hint="eastAsia" w:ascii="黑体" w:hAnsi="宋体" w:eastAsia="黑体"/>
          <w:sz w:val="28"/>
          <w:szCs w:val="28"/>
        </w:rPr>
        <w:t>七、合同变更和解除</w:t>
      </w:r>
    </w:p>
    <w:p w14:paraId="561B70B6">
      <w:pPr>
        <w:spacing w:line="520" w:lineRule="exact"/>
        <w:ind w:firstLine="480" w:firstLineChars="200"/>
        <w:rPr>
          <w:rFonts w:ascii="仿宋_GB2312" w:hAnsi="宋体" w:eastAsia="仿宋_GB2312"/>
          <w:sz w:val="24"/>
        </w:rPr>
      </w:pPr>
      <w:r>
        <w:rPr>
          <w:rFonts w:hint="eastAsia" w:ascii="仿宋_GB2312" w:hAnsi="宋体" w:eastAsia="仿宋_GB2312"/>
          <w:sz w:val="24"/>
        </w:rPr>
        <w:t>第二十三条 本合同的变更由双方当事人协商一致，可予以变更。</w:t>
      </w:r>
    </w:p>
    <w:p w14:paraId="3F3981BC">
      <w:pPr>
        <w:spacing w:line="520" w:lineRule="exact"/>
        <w:ind w:firstLine="480" w:firstLineChars="200"/>
        <w:rPr>
          <w:rFonts w:ascii="仿宋_GB2312" w:hAnsi="宋体" w:eastAsia="仿宋_GB2312"/>
          <w:sz w:val="24"/>
        </w:rPr>
      </w:pPr>
      <w:r>
        <w:rPr>
          <w:rFonts w:hint="eastAsia" w:ascii="仿宋_GB2312" w:hAnsi="宋体" w:eastAsia="仿宋_GB2312"/>
          <w:sz w:val="24"/>
        </w:rPr>
        <w:t>第二十四条 出现下列情形，致使本合同履行成为不必要或不可能，可以解除本合同：</w:t>
      </w:r>
    </w:p>
    <w:p w14:paraId="4E85F130">
      <w:pPr>
        <w:spacing w:line="5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．由于发生不可抗力致使不能实现本合同的；</w:t>
      </w:r>
    </w:p>
    <w:p w14:paraId="56F8D6AB">
      <w:pPr>
        <w:spacing w:line="5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．双方协商同意解除本合同的。</w:t>
      </w:r>
    </w:p>
    <w:p w14:paraId="43485885">
      <w:pPr>
        <w:spacing w:line="520" w:lineRule="exact"/>
        <w:ind w:firstLine="551" w:firstLineChars="197"/>
        <w:rPr>
          <w:rFonts w:ascii="黑体" w:hAnsi="宋体" w:eastAsia="黑体"/>
          <w:sz w:val="28"/>
          <w:szCs w:val="28"/>
        </w:rPr>
      </w:pPr>
      <w:r>
        <w:rPr>
          <w:rFonts w:hint="eastAsia" w:ascii="黑体" w:hAnsi="宋体" w:eastAsia="黑体"/>
          <w:sz w:val="28"/>
          <w:szCs w:val="28"/>
        </w:rPr>
        <w:t>八、附则</w:t>
      </w:r>
    </w:p>
    <w:p w14:paraId="7A1D5B77">
      <w:pPr>
        <w:spacing w:line="520" w:lineRule="exact"/>
        <w:ind w:firstLine="480" w:firstLineChars="200"/>
        <w:rPr>
          <w:rFonts w:ascii="仿宋_GB2312" w:hAnsi="宋体" w:eastAsia="仿宋_GB2312"/>
          <w:sz w:val="24"/>
        </w:rPr>
      </w:pPr>
      <w:r>
        <w:rPr>
          <w:rFonts w:hint="eastAsia" w:ascii="仿宋_GB2312" w:hAnsi="宋体" w:eastAsia="仿宋_GB2312"/>
          <w:sz w:val="24"/>
        </w:rPr>
        <w:t>第二十五条 本合同经双方签字、盖章后生效，本合同履行完毕后自动终止。</w:t>
      </w:r>
    </w:p>
    <w:p w14:paraId="0CB78C41">
      <w:pPr>
        <w:spacing w:line="520" w:lineRule="exact"/>
        <w:ind w:firstLine="480" w:firstLineChars="200"/>
        <w:rPr>
          <w:rFonts w:ascii="仿宋_GB2312" w:hAnsi="宋体" w:eastAsia="仿宋_GB2312"/>
          <w:sz w:val="24"/>
        </w:rPr>
      </w:pPr>
      <w:r>
        <w:rPr>
          <w:rFonts w:hint="eastAsia" w:ascii="仿宋_GB2312" w:hAnsi="宋体" w:eastAsia="仿宋_GB2312"/>
          <w:sz w:val="24"/>
        </w:rPr>
        <w:t>第二十六条 因不可归责于双方的原因影响合同履行或造成损失的，双方应本着公平原则协商解决。</w:t>
      </w:r>
    </w:p>
    <w:p w14:paraId="3F8D6ED9">
      <w:pPr>
        <w:spacing w:line="520" w:lineRule="exact"/>
        <w:ind w:firstLine="480" w:firstLineChars="200"/>
        <w:rPr>
          <w:rFonts w:ascii="仿宋_GB2312" w:hAnsi="宋体" w:eastAsia="仿宋_GB2312"/>
          <w:sz w:val="24"/>
          <w:u w:val="single"/>
        </w:rPr>
      </w:pPr>
      <w:r>
        <w:rPr>
          <w:rFonts w:hint="eastAsia" w:ascii="仿宋_GB2312" w:hAnsi="宋体" w:eastAsia="仿宋_GB2312"/>
          <w:sz w:val="24"/>
        </w:rPr>
        <w:t>第二十七条 其他约定事项（可另附页）</w:t>
      </w:r>
      <w:r>
        <w:rPr>
          <w:rFonts w:ascii="仿宋_GB2312" w:hAnsi="宋体" w:eastAsia="仿宋_GB2312"/>
          <w:sz w:val="24"/>
          <w:u w:val="single"/>
        </w:rPr>
        <w:t xml:space="preserve">                                     </w:t>
      </w:r>
    </w:p>
    <w:p w14:paraId="6B6450E0">
      <w:pPr>
        <w:spacing w:line="520" w:lineRule="exact"/>
        <w:rPr>
          <w:rFonts w:ascii="仿宋_GB2312" w:hAnsi="宋体" w:eastAsia="仿宋_GB2312"/>
          <w:sz w:val="24"/>
          <w:u w:val="single"/>
        </w:rPr>
      </w:pPr>
      <w:r>
        <w:rPr>
          <w:rFonts w:hint="eastAsia" w:ascii="仿宋_GB2312" w:hAnsi="宋体" w:eastAsia="仿宋_GB2312"/>
          <w:sz w:val="24"/>
          <w:u w:val="single"/>
        </w:rPr>
        <w:t xml:space="preserve">                                                                            </w:t>
      </w:r>
    </w:p>
    <w:p w14:paraId="4098DA80">
      <w:pPr>
        <w:spacing w:line="520" w:lineRule="exact"/>
        <w:rPr>
          <w:rFonts w:ascii="仿宋_GB2312" w:hAnsi="宋体" w:eastAsia="仿宋_GB2312"/>
          <w:sz w:val="24"/>
          <w:u w:val="single"/>
        </w:rPr>
      </w:pPr>
      <w:r>
        <w:rPr>
          <w:rFonts w:hint="eastAsia" w:ascii="仿宋_GB2312" w:hAnsi="宋体" w:eastAsia="仿宋_GB2312"/>
          <w:sz w:val="24"/>
          <w:u w:val="single"/>
        </w:rPr>
        <w:t xml:space="preserve">                                                                            </w:t>
      </w:r>
    </w:p>
    <w:p w14:paraId="36821F71">
      <w:pPr>
        <w:spacing w:line="520" w:lineRule="exact"/>
        <w:rPr>
          <w:rFonts w:ascii="仿宋_GB2312" w:hAnsi="宋体" w:eastAsia="仿宋_GB2312"/>
          <w:sz w:val="24"/>
          <w:u w:val="single"/>
        </w:rPr>
      </w:pPr>
      <w:r>
        <w:rPr>
          <w:rFonts w:hint="eastAsia" w:ascii="仿宋_GB2312" w:hAnsi="宋体" w:eastAsia="仿宋_GB2312"/>
          <w:sz w:val="24"/>
          <w:u w:val="single"/>
        </w:rPr>
        <w:t xml:space="preserve">                                                                            </w:t>
      </w:r>
    </w:p>
    <w:p w14:paraId="31C9B9EA">
      <w:pPr>
        <w:spacing w:line="520" w:lineRule="exact"/>
        <w:ind w:firstLine="480"/>
        <w:rPr>
          <w:rFonts w:ascii="仿宋_GB2312" w:hAnsi="宋体" w:eastAsia="仿宋_GB2312"/>
          <w:sz w:val="24"/>
        </w:rPr>
      </w:pPr>
      <w:r>
        <w:rPr>
          <w:rFonts w:hint="eastAsia" w:ascii="仿宋_GB2312" w:hAnsi="宋体" w:eastAsia="仿宋_GB2312"/>
          <w:sz w:val="24"/>
        </w:rPr>
        <w:t>第二十八条 本合同一式</w:t>
      </w:r>
      <w:r>
        <w:rPr>
          <w:rFonts w:hint="eastAsia" w:ascii="仿宋_GB2312" w:hAnsi="宋体" w:eastAsia="仿宋_GB2312"/>
          <w:sz w:val="24"/>
          <w:u w:val="single"/>
        </w:rPr>
        <w:t xml:space="preserve">  陆 </w:t>
      </w:r>
      <w:r>
        <w:rPr>
          <w:rFonts w:hint="eastAsia" w:ascii="仿宋_GB2312" w:hAnsi="宋体" w:eastAsia="仿宋_GB2312"/>
          <w:sz w:val="24"/>
        </w:rPr>
        <w:t>份，甲方执</w:t>
      </w:r>
      <w:r>
        <w:rPr>
          <w:rFonts w:hint="eastAsia" w:ascii="仿宋_GB2312" w:hAnsi="宋体" w:eastAsia="仿宋_GB2312"/>
          <w:sz w:val="24"/>
          <w:u w:val="single"/>
        </w:rPr>
        <w:t xml:space="preserve">  肆 </w:t>
      </w:r>
      <w:r>
        <w:rPr>
          <w:rFonts w:hint="eastAsia" w:ascii="仿宋_GB2312" w:hAnsi="宋体" w:eastAsia="仿宋_GB2312"/>
          <w:sz w:val="24"/>
        </w:rPr>
        <w:t>份，乙方执</w:t>
      </w:r>
      <w:r>
        <w:rPr>
          <w:rFonts w:hint="eastAsia" w:ascii="仿宋_GB2312" w:hAnsi="宋体" w:eastAsia="仿宋_GB2312"/>
          <w:sz w:val="24"/>
          <w:u w:val="single"/>
        </w:rPr>
        <w:t xml:space="preserve">  贰 </w:t>
      </w:r>
      <w:r>
        <w:rPr>
          <w:rFonts w:hint="eastAsia" w:ascii="仿宋_GB2312" w:hAnsi="宋体" w:eastAsia="仿宋_GB2312"/>
          <w:sz w:val="24"/>
        </w:rPr>
        <w:t>份。</w:t>
      </w:r>
    </w:p>
    <w:p w14:paraId="3FD126F1">
      <w:pPr>
        <w:spacing w:line="520" w:lineRule="exact"/>
        <w:ind w:firstLine="480" w:firstLineChars="200"/>
        <w:rPr>
          <w:rFonts w:ascii="仿宋_GB2312" w:hAnsi="宋体" w:eastAsia="仿宋_GB2312"/>
          <w:sz w:val="24"/>
        </w:rPr>
      </w:pPr>
      <w:r>
        <w:rPr>
          <w:rFonts w:hint="eastAsia" w:ascii="仿宋_GB2312" w:hAnsi="宋体" w:eastAsia="仿宋_GB2312"/>
          <w:sz w:val="24"/>
        </w:rPr>
        <w:t xml:space="preserve">第二十九条 </w:t>
      </w:r>
      <w:r>
        <w:rPr>
          <w:rFonts w:ascii="仿宋_GB2312" w:hAnsi="宋体" w:eastAsia="仿宋_GB2312"/>
          <w:sz w:val="24"/>
        </w:rPr>
        <w:t>合同经</w:t>
      </w:r>
      <w:r>
        <w:rPr>
          <w:rFonts w:hint="eastAsia" w:ascii="仿宋_GB2312" w:hAnsi="宋体" w:eastAsia="仿宋_GB2312"/>
          <w:sz w:val="24"/>
        </w:rPr>
        <w:t>甲、乙</w:t>
      </w:r>
      <w:r>
        <w:rPr>
          <w:rFonts w:ascii="仿宋_GB2312" w:hAnsi="宋体" w:eastAsia="仿宋_GB2312"/>
          <w:sz w:val="24"/>
        </w:rPr>
        <w:t>双方签字盖章后生效。</w:t>
      </w:r>
    </w:p>
    <w:p w14:paraId="5413CBA9">
      <w:pPr>
        <w:pStyle w:val="27"/>
        <w:rPr>
          <w:rFonts w:ascii="仿宋_GB2312" w:hAnsi="宋体" w:eastAsia="仿宋_GB2312"/>
          <w:color w:val="auto"/>
        </w:rPr>
      </w:pPr>
    </w:p>
    <w:p w14:paraId="7F1E4FFE">
      <w:pPr>
        <w:pStyle w:val="27"/>
        <w:rPr>
          <w:rFonts w:ascii="仿宋_GB2312" w:hAnsi="宋体" w:eastAsia="仿宋_GB2312"/>
          <w:color w:val="auto"/>
        </w:rPr>
      </w:pPr>
    </w:p>
    <w:p w14:paraId="1E55E5FA">
      <w:pPr>
        <w:pStyle w:val="27"/>
        <w:rPr>
          <w:rFonts w:ascii="仿宋_GB2312" w:hAnsi="宋体" w:eastAsia="仿宋_GB2312"/>
          <w:color w:val="auto"/>
        </w:rPr>
      </w:pPr>
    </w:p>
    <w:p w14:paraId="7DC0C314">
      <w:pPr>
        <w:pStyle w:val="27"/>
        <w:rPr>
          <w:rFonts w:ascii="仿宋_GB2312" w:hAnsi="宋体" w:eastAsia="仿宋_GB2312"/>
          <w:color w:val="auto"/>
        </w:rPr>
      </w:pPr>
    </w:p>
    <w:p w14:paraId="3C373B4E">
      <w:pPr>
        <w:pStyle w:val="27"/>
        <w:rPr>
          <w:rFonts w:ascii="仿宋_GB2312" w:hAnsi="宋体" w:eastAsia="仿宋_GB2312"/>
          <w:color w:val="auto"/>
        </w:rPr>
      </w:pPr>
    </w:p>
    <w:p w14:paraId="6D510648">
      <w:pPr>
        <w:pStyle w:val="27"/>
        <w:rPr>
          <w:rFonts w:ascii="仿宋_GB2312" w:hAnsi="宋体" w:eastAsia="仿宋_GB2312"/>
          <w:color w:val="auto"/>
        </w:rPr>
      </w:pPr>
    </w:p>
    <w:p w14:paraId="0FEE0CC8">
      <w:pPr>
        <w:pStyle w:val="27"/>
        <w:rPr>
          <w:rFonts w:ascii="仿宋_GB2312" w:hAnsi="宋体" w:eastAsia="仿宋_GB2312"/>
          <w:color w:val="auto"/>
        </w:rPr>
      </w:pPr>
    </w:p>
    <w:p w14:paraId="71CF276F">
      <w:pPr>
        <w:pStyle w:val="27"/>
        <w:rPr>
          <w:rFonts w:ascii="仿宋_GB2312" w:hAnsi="宋体" w:eastAsia="仿宋_GB2312"/>
          <w:color w:val="auto"/>
        </w:rPr>
      </w:pPr>
    </w:p>
    <w:p w14:paraId="5362D0FA">
      <w:pPr>
        <w:pStyle w:val="27"/>
        <w:rPr>
          <w:rFonts w:ascii="仿宋_GB2312" w:hAnsi="宋体" w:eastAsia="仿宋_GB2312"/>
          <w:color w:val="auto"/>
        </w:rPr>
      </w:pPr>
    </w:p>
    <w:p w14:paraId="12DC7FB6">
      <w:pPr>
        <w:pStyle w:val="27"/>
        <w:rPr>
          <w:rFonts w:ascii="仿宋_GB2312" w:hAnsi="宋体" w:eastAsia="仿宋_GB2312"/>
          <w:color w:val="auto"/>
        </w:rPr>
      </w:pPr>
    </w:p>
    <w:p w14:paraId="68A133FE">
      <w:pPr>
        <w:pStyle w:val="27"/>
        <w:rPr>
          <w:rFonts w:ascii="仿宋_GB2312" w:hAnsi="宋体" w:eastAsia="仿宋_GB2312"/>
          <w:color w:val="auto"/>
        </w:rPr>
      </w:pPr>
    </w:p>
    <w:p w14:paraId="1DA9E981">
      <w:pPr>
        <w:pStyle w:val="27"/>
        <w:rPr>
          <w:rFonts w:ascii="仿宋_GB2312" w:hAnsi="宋体" w:eastAsia="仿宋_GB2312"/>
          <w:color w:val="auto"/>
        </w:rPr>
      </w:pPr>
    </w:p>
    <w:p w14:paraId="44D558FF">
      <w:pPr>
        <w:pStyle w:val="27"/>
        <w:rPr>
          <w:rFonts w:ascii="仿宋_GB2312" w:hAnsi="宋体" w:eastAsia="仿宋_GB2312"/>
          <w:color w:val="auto"/>
        </w:rPr>
      </w:pPr>
    </w:p>
    <w:p w14:paraId="5CC930A9">
      <w:pPr>
        <w:pStyle w:val="27"/>
        <w:rPr>
          <w:rFonts w:ascii="仿宋_GB2312" w:hAnsi="宋体" w:eastAsia="仿宋_GB2312"/>
          <w:color w:val="auto"/>
        </w:rPr>
      </w:pPr>
    </w:p>
    <w:p w14:paraId="5B2813F8">
      <w:pPr>
        <w:pStyle w:val="27"/>
        <w:rPr>
          <w:rFonts w:ascii="仿宋_GB2312" w:hAnsi="宋体" w:eastAsia="仿宋_GB2312"/>
          <w:color w:val="auto"/>
        </w:rPr>
      </w:pPr>
    </w:p>
    <w:p w14:paraId="07FF8CEA">
      <w:pPr>
        <w:pStyle w:val="27"/>
        <w:rPr>
          <w:rFonts w:ascii="仿宋_GB2312" w:hAnsi="宋体" w:eastAsia="仿宋_GB2312"/>
          <w:color w:val="auto"/>
        </w:rPr>
      </w:pPr>
    </w:p>
    <w:p w14:paraId="2F4F5318">
      <w:pPr>
        <w:pStyle w:val="27"/>
        <w:rPr>
          <w:rFonts w:ascii="仿宋_GB2312" w:hAnsi="宋体" w:eastAsia="仿宋_GB2312"/>
          <w:color w:val="auto"/>
        </w:rPr>
      </w:pPr>
    </w:p>
    <w:p w14:paraId="1A1ED93F">
      <w:pPr>
        <w:pStyle w:val="27"/>
        <w:rPr>
          <w:rFonts w:ascii="仿宋_GB2312" w:hAnsi="宋体" w:eastAsia="仿宋_GB2312"/>
          <w:color w:val="auto"/>
        </w:rPr>
      </w:pPr>
    </w:p>
    <w:p w14:paraId="2D429D97">
      <w:pPr>
        <w:pStyle w:val="27"/>
        <w:rPr>
          <w:rFonts w:ascii="仿宋_GB2312" w:hAnsi="宋体" w:eastAsia="仿宋_GB2312"/>
          <w:color w:val="auto"/>
        </w:rPr>
      </w:pPr>
    </w:p>
    <w:p w14:paraId="48585F58">
      <w:pPr>
        <w:pStyle w:val="27"/>
        <w:rPr>
          <w:rFonts w:ascii="仿宋_GB2312" w:hAnsi="宋体" w:eastAsia="仿宋_GB2312"/>
          <w:color w:val="auto"/>
        </w:rPr>
      </w:pPr>
    </w:p>
    <w:p w14:paraId="5574F2DB">
      <w:pPr>
        <w:pStyle w:val="27"/>
        <w:rPr>
          <w:rFonts w:ascii="仿宋_GB2312" w:hAnsi="宋体" w:eastAsia="仿宋_GB2312"/>
          <w:color w:val="auto"/>
        </w:rPr>
      </w:pPr>
    </w:p>
    <w:p w14:paraId="22C3F754">
      <w:pPr>
        <w:pStyle w:val="27"/>
        <w:rPr>
          <w:rFonts w:ascii="仿宋_GB2312" w:hAnsi="宋体" w:eastAsia="仿宋_GB2312"/>
          <w:color w:val="auto"/>
        </w:rPr>
      </w:pPr>
    </w:p>
    <w:p w14:paraId="76A355E8">
      <w:pPr>
        <w:pStyle w:val="27"/>
        <w:rPr>
          <w:rFonts w:ascii="仿宋_GB2312" w:hAnsi="宋体" w:eastAsia="仿宋_GB2312"/>
          <w:color w:val="auto"/>
        </w:rPr>
      </w:pPr>
    </w:p>
    <w:tbl>
      <w:tblPr>
        <w:tblStyle w:val="16"/>
        <w:tblW w:w="0" w:type="auto"/>
        <w:tblInd w:w="-2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714"/>
        <w:gridCol w:w="1611"/>
        <w:gridCol w:w="1614"/>
        <w:gridCol w:w="698"/>
        <w:gridCol w:w="76"/>
        <w:gridCol w:w="2065"/>
        <w:gridCol w:w="1876"/>
      </w:tblGrid>
      <w:tr w14:paraId="056DDB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62" w:hRule="atLeast"/>
        </w:trPr>
        <w:tc>
          <w:tcPr>
            <w:tcW w:w="714" w:type="dxa"/>
            <w:vMerge w:val="restart"/>
            <w:tcBorders>
              <w:top w:val="single" w:color="auto" w:sz="4" w:space="0"/>
              <w:left w:val="single" w:color="auto" w:sz="4" w:space="0"/>
              <w:bottom w:val="nil"/>
              <w:right w:val="single" w:color="auto" w:sz="6" w:space="0"/>
            </w:tcBorders>
            <w:vAlign w:val="center"/>
          </w:tcPr>
          <w:p w14:paraId="79CDE7DF">
            <w:pPr>
              <w:spacing w:before="60" w:after="60" w:line="360" w:lineRule="exact"/>
              <w:jc w:val="center"/>
              <w:rPr>
                <w:spacing w:val="4"/>
                <w:sz w:val="24"/>
              </w:rPr>
            </w:pPr>
            <w:r>
              <w:rPr>
                <w:rFonts w:hint="eastAsia" w:hAnsi="宋体" w:cs="宋体"/>
                <w:spacing w:val="4"/>
                <w:sz w:val="24"/>
              </w:rPr>
              <w:t>委</w:t>
            </w:r>
          </w:p>
          <w:p w14:paraId="3C54A901">
            <w:pPr>
              <w:spacing w:before="60" w:after="60" w:line="360" w:lineRule="exact"/>
              <w:jc w:val="center"/>
              <w:rPr>
                <w:spacing w:val="4"/>
                <w:sz w:val="24"/>
              </w:rPr>
            </w:pPr>
            <w:r>
              <w:rPr>
                <w:rFonts w:hint="eastAsia" w:hAnsi="宋体" w:cs="宋体"/>
                <w:spacing w:val="4"/>
                <w:sz w:val="24"/>
              </w:rPr>
              <w:t>托</w:t>
            </w:r>
          </w:p>
          <w:p w14:paraId="72A51968">
            <w:pPr>
              <w:spacing w:before="60" w:after="60" w:line="360" w:lineRule="exact"/>
              <w:jc w:val="center"/>
              <w:rPr>
                <w:spacing w:val="4"/>
                <w:sz w:val="24"/>
              </w:rPr>
            </w:pPr>
            <w:r>
              <w:rPr>
                <w:rFonts w:hint="eastAsia" w:hAnsi="宋体" w:cs="宋体"/>
                <w:spacing w:val="4"/>
                <w:sz w:val="24"/>
              </w:rPr>
              <w:t>人</w:t>
            </w:r>
          </w:p>
          <w:p w14:paraId="01174F31">
            <w:pPr>
              <w:spacing w:before="60" w:after="60" w:line="360" w:lineRule="exact"/>
              <w:jc w:val="center"/>
              <w:rPr>
                <w:spacing w:val="4"/>
                <w:sz w:val="24"/>
              </w:rPr>
            </w:pPr>
            <w:r>
              <w:rPr>
                <w:rFonts w:hint="eastAsia" w:hAnsi="宋体" w:cs="宋体"/>
                <w:spacing w:val="4"/>
                <w:sz w:val="24"/>
              </w:rPr>
              <w:t>︹</w:t>
            </w:r>
          </w:p>
          <w:p w14:paraId="218934FB">
            <w:pPr>
              <w:spacing w:before="60" w:after="60" w:line="360" w:lineRule="exact"/>
              <w:jc w:val="center"/>
              <w:rPr>
                <w:spacing w:val="4"/>
                <w:sz w:val="24"/>
              </w:rPr>
            </w:pPr>
            <w:r>
              <w:rPr>
                <w:rFonts w:hint="eastAsia" w:hAnsi="宋体" w:cs="宋体"/>
                <w:spacing w:val="4"/>
                <w:sz w:val="24"/>
              </w:rPr>
              <w:t>甲</w:t>
            </w:r>
          </w:p>
          <w:p w14:paraId="4B10C6EA">
            <w:pPr>
              <w:spacing w:before="60" w:after="60" w:line="360" w:lineRule="exact"/>
              <w:jc w:val="center"/>
              <w:rPr>
                <w:spacing w:val="4"/>
                <w:sz w:val="24"/>
              </w:rPr>
            </w:pPr>
            <w:r>
              <w:rPr>
                <w:rFonts w:hint="eastAsia" w:hAnsi="宋体" w:cs="宋体"/>
                <w:spacing w:val="4"/>
                <w:sz w:val="24"/>
              </w:rPr>
              <w:t>方</w:t>
            </w:r>
          </w:p>
          <w:p w14:paraId="5385F2F8">
            <w:pPr>
              <w:spacing w:before="60" w:after="60" w:line="360" w:lineRule="exact"/>
              <w:jc w:val="center"/>
              <w:rPr>
                <w:spacing w:val="4"/>
                <w:sz w:val="18"/>
                <w:szCs w:val="18"/>
              </w:rPr>
            </w:pPr>
            <w:r>
              <w:rPr>
                <w:rFonts w:hint="eastAsia" w:hAnsi="宋体" w:cs="宋体"/>
                <w:spacing w:val="4"/>
                <w:sz w:val="24"/>
              </w:rPr>
              <w:t>︺</w:t>
            </w:r>
          </w:p>
        </w:tc>
        <w:tc>
          <w:tcPr>
            <w:tcW w:w="1611" w:type="dxa"/>
            <w:tcBorders>
              <w:top w:val="single" w:color="auto" w:sz="4" w:space="0"/>
              <w:left w:val="single" w:color="auto" w:sz="6" w:space="0"/>
              <w:bottom w:val="single" w:color="auto" w:sz="6" w:space="0"/>
              <w:right w:val="single" w:color="auto" w:sz="6" w:space="0"/>
            </w:tcBorders>
            <w:vAlign w:val="center"/>
          </w:tcPr>
          <w:p w14:paraId="109731FD">
            <w:pPr>
              <w:spacing w:before="60" w:after="60" w:line="360" w:lineRule="exact"/>
              <w:jc w:val="center"/>
              <w:rPr>
                <w:spacing w:val="4"/>
                <w:szCs w:val="21"/>
              </w:rPr>
            </w:pPr>
            <w:r>
              <w:rPr>
                <w:rFonts w:hint="eastAsia" w:hAnsi="宋体" w:cs="宋体"/>
                <w:spacing w:val="4"/>
                <w:szCs w:val="21"/>
              </w:rPr>
              <w:t>名称</w:t>
            </w:r>
            <w:r>
              <w:rPr>
                <w:spacing w:val="4"/>
                <w:szCs w:val="21"/>
              </w:rPr>
              <w:t>(</w:t>
            </w:r>
            <w:r>
              <w:rPr>
                <w:rFonts w:hint="eastAsia" w:hAnsi="宋体" w:cs="宋体"/>
                <w:spacing w:val="4"/>
                <w:szCs w:val="21"/>
              </w:rPr>
              <w:t>或姓名</w:t>
            </w:r>
            <w:r>
              <w:rPr>
                <w:spacing w:val="4"/>
                <w:szCs w:val="21"/>
              </w:rPr>
              <w:t>)</w:t>
            </w:r>
          </w:p>
        </w:tc>
        <w:tc>
          <w:tcPr>
            <w:tcW w:w="4453" w:type="dxa"/>
            <w:gridSpan w:val="4"/>
            <w:tcBorders>
              <w:top w:val="single" w:color="auto" w:sz="4" w:space="0"/>
              <w:left w:val="single" w:color="auto" w:sz="6" w:space="0"/>
              <w:bottom w:val="single" w:color="auto" w:sz="6" w:space="0"/>
              <w:right w:val="single" w:color="auto" w:sz="4" w:space="0"/>
            </w:tcBorders>
            <w:vAlign w:val="center"/>
          </w:tcPr>
          <w:p w14:paraId="0334FC4F">
            <w:pPr>
              <w:spacing w:before="60" w:after="60" w:line="360" w:lineRule="exact"/>
              <w:jc w:val="center"/>
              <w:rPr>
                <w:spacing w:val="4"/>
                <w:sz w:val="24"/>
              </w:rPr>
            </w:pPr>
            <w:r>
              <w:rPr>
                <w:rFonts w:hint="eastAsia" w:hAnsi="宋体" w:cs="宋体"/>
                <w:spacing w:val="4"/>
                <w:sz w:val="24"/>
              </w:rPr>
              <w:t>山东济钢环保新材料有限公司</w:t>
            </w:r>
          </w:p>
        </w:tc>
        <w:tc>
          <w:tcPr>
            <w:tcW w:w="1876" w:type="dxa"/>
            <w:vMerge w:val="restart"/>
            <w:tcBorders>
              <w:top w:val="single" w:color="auto" w:sz="4" w:space="0"/>
              <w:left w:val="single" w:color="auto" w:sz="6" w:space="0"/>
              <w:bottom w:val="nil"/>
              <w:right w:val="single" w:color="auto" w:sz="4" w:space="0"/>
            </w:tcBorders>
          </w:tcPr>
          <w:p w14:paraId="4F703194">
            <w:pPr>
              <w:spacing w:before="60" w:after="60" w:line="360" w:lineRule="exact"/>
              <w:jc w:val="center"/>
              <w:rPr>
                <w:spacing w:val="4"/>
                <w:szCs w:val="21"/>
              </w:rPr>
            </w:pPr>
          </w:p>
          <w:p w14:paraId="7C694AEB">
            <w:pPr>
              <w:spacing w:before="60" w:after="60" w:line="360" w:lineRule="exact"/>
              <w:jc w:val="center"/>
              <w:rPr>
                <w:spacing w:val="4"/>
                <w:szCs w:val="21"/>
              </w:rPr>
            </w:pPr>
            <w:r>
              <w:rPr>
                <w:rFonts w:hint="eastAsia" w:hAnsi="宋体" w:cs="宋体"/>
                <w:spacing w:val="4"/>
                <w:szCs w:val="21"/>
              </w:rPr>
              <w:t>合同专用章</w:t>
            </w:r>
          </w:p>
          <w:p w14:paraId="0763E717">
            <w:pPr>
              <w:spacing w:before="120" w:after="120" w:line="360" w:lineRule="exact"/>
              <w:jc w:val="center"/>
              <w:rPr>
                <w:spacing w:val="4"/>
                <w:sz w:val="24"/>
              </w:rPr>
            </w:pPr>
            <w:r>
              <w:rPr>
                <w:rFonts w:hint="eastAsia" w:hAnsi="宋体" w:cs="宋体"/>
                <w:spacing w:val="4"/>
                <w:sz w:val="24"/>
              </w:rPr>
              <w:t>或</w:t>
            </w:r>
          </w:p>
          <w:p w14:paraId="42571D05">
            <w:pPr>
              <w:spacing w:before="60" w:after="60" w:line="360" w:lineRule="exact"/>
              <w:jc w:val="center"/>
              <w:rPr>
                <w:spacing w:val="4"/>
                <w:szCs w:val="21"/>
              </w:rPr>
            </w:pPr>
            <w:r>
              <w:rPr>
                <w:rFonts w:hint="eastAsia" w:hAnsi="宋体" w:cs="宋体"/>
                <w:spacing w:val="4"/>
                <w:szCs w:val="21"/>
              </w:rPr>
              <w:t>单位公章</w:t>
            </w:r>
          </w:p>
          <w:p w14:paraId="1D271EE5">
            <w:pPr>
              <w:spacing w:before="60" w:after="60" w:line="360" w:lineRule="exact"/>
              <w:jc w:val="center"/>
              <w:rPr>
                <w:spacing w:val="4"/>
                <w:szCs w:val="21"/>
              </w:rPr>
            </w:pPr>
          </w:p>
          <w:p w14:paraId="09AE8BCA">
            <w:pPr>
              <w:spacing w:before="60" w:after="60" w:line="360" w:lineRule="exact"/>
              <w:jc w:val="center"/>
              <w:rPr>
                <w:spacing w:val="4"/>
                <w:szCs w:val="21"/>
              </w:rPr>
            </w:pPr>
          </w:p>
          <w:p w14:paraId="211C8E41">
            <w:pPr>
              <w:spacing w:before="60" w:after="60" w:line="360" w:lineRule="exact"/>
              <w:jc w:val="center"/>
              <w:rPr>
                <w:spacing w:val="4"/>
                <w:szCs w:val="21"/>
              </w:rPr>
            </w:pPr>
          </w:p>
          <w:p w14:paraId="7DDB765A">
            <w:pPr>
              <w:spacing w:before="60" w:after="60" w:line="360" w:lineRule="exact"/>
              <w:jc w:val="center"/>
              <w:rPr>
                <w:spacing w:val="4"/>
                <w:szCs w:val="21"/>
              </w:rPr>
            </w:pPr>
          </w:p>
          <w:p w14:paraId="72BDA873">
            <w:pPr>
              <w:spacing w:before="60" w:after="60" w:line="360" w:lineRule="exact"/>
              <w:jc w:val="center"/>
              <w:rPr>
                <w:spacing w:val="4"/>
                <w:szCs w:val="21"/>
              </w:rPr>
            </w:pPr>
          </w:p>
          <w:p w14:paraId="4061AE7F">
            <w:pPr>
              <w:spacing w:before="60" w:after="60" w:line="360" w:lineRule="exact"/>
              <w:jc w:val="center"/>
              <w:rPr>
                <w:spacing w:val="4"/>
                <w:szCs w:val="21"/>
              </w:rPr>
            </w:pPr>
          </w:p>
          <w:p w14:paraId="3C1E0B74">
            <w:pPr>
              <w:spacing w:before="60" w:after="60" w:line="360" w:lineRule="exact"/>
              <w:jc w:val="center"/>
              <w:rPr>
                <w:spacing w:val="4"/>
                <w:szCs w:val="21"/>
              </w:rPr>
            </w:pPr>
          </w:p>
          <w:p w14:paraId="0A6799C5">
            <w:pPr>
              <w:spacing w:before="60" w:after="60" w:line="360" w:lineRule="exact"/>
              <w:jc w:val="center"/>
              <w:rPr>
                <w:spacing w:val="4"/>
                <w:szCs w:val="21"/>
              </w:rPr>
            </w:pPr>
            <w:r>
              <w:rPr>
                <w:rFonts w:hint="eastAsia" w:hAnsi="宋体" w:cs="宋体"/>
                <w:spacing w:val="4"/>
                <w:szCs w:val="21"/>
              </w:rPr>
              <w:t>2025年 月 日</w:t>
            </w:r>
          </w:p>
        </w:tc>
      </w:tr>
      <w:tr w14:paraId="5DC53F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61" w:hRule="atLeast"/>
        </w:trPr>
        <w:tc>
          <w:tcPr>
            <w:tcW w:w="714" w:type="dxa"/>
            <w:vMerge w:val="continue"/>
            <w:tcBorders>
              <w:top w:val="single" w:color="auto" w:sz="4" w:space="0"/>
              <w:left w:val="single" w:color="auto" w:sz="4" w:space="0"/>
              <w:bottom w:val="nil"/>
              <w:right w:val="single" w:color="auto" w:sz="6" w:space="0"/>
            </w:tcBorders>
            <w:vAlign w:val="center"/>
          </w:tcPr>
          <w:p w14:paraId="1263D33A">
            <w:pPr>
              <w:widowControl/>
              <w:jc w:val="left"/>
              <w:rPr>
                <w:spacing w:val="4"/>
                <w:sz w:val="18"/>
                <w:szCs w:val="18"/>
              </w:rPr>
            </w:pPr>
          </w:p>
        </w:tc>
        <w:tc>
          <w:tcPr>
            <w:tcW w:w="1611" w:type="dxa"/>
            <w:tcBorders>
              <w:top w:val="single" w:color="auto" w:sz="6" w:space="0"/>
              <w:left w:val="single" w:color="auto" w:sz="6" w:space="0"/>
              <w:bottom w:val="nil"/>
              <w:right w:val="single" w:color="auto" w:sz="6" w:space="0"/>
            </w:tcBorders>
            <w:vAlign w:val="center"/>
          </w:tcPr>
          <w:p w14:paraId="43662162">
            <w:pPr>
              <w:spacing w:before="120" w:after="120" w:line="360" w:lineRule="exact"/>
              <w:jc w:val="center"/>
              <w:rPr>
                <w:spacing w:val="4"/>
                <w:szCs w:val="21"/>
              </w:rPr>
            </w:pPr>
            <w:r>
              <w:rPr>
                <w:rFonts w:hint="eastAsia" w:hAnsi="宋体" w:cs="宋体"/>
                <w:spacing w:val="4"/>
                <w:szCs w:val="21"/>
              </w:rPr>
              <w:t>法定代表人或授权人</w:t>
            </w:r>
          </w:p>
        </w:tc>
        <w:tc>
          <w:tcPr>
            <w:tcW w:w="4453" w:type="dxa"/>
            <w:gridSpan w:val="4"/>
            <w:tcBorders>
              <w:top w:val="single" w:color="auto" w:sz="6" w:space="0"/>
              <w:left w:val="single" w:color="auto" w:sz="6" w:space="0"/>
              <w:bottom w:val="nil"/>
              <w:right w:val="single" w:color="auto" w:sz="6" w:space="0"/>
            </w:tcBorders>
            <w:vAlign w:val="center"/>
          </w:tcPr>
          <w:p w14:paraId="7D04A855">
            <w:pPr>
              <w:wordWrap w:val="0"/>
              <w:spacing w:before="120" w:after="120" w:line="360" w:lineRule="exact"/>
              <w:ind w:left="436" w:right="545" w:hanging="436" w:hangingChars="200"/>
              <w:jc w:val="center"/>
              <w:rPr>
                <w:spacing w:val="4"/>
                <w:szCs w:val="21"/>
              </w:rPr>
            </w:pPr>
            <w:r>
              <w:rPr>
                <w:rFonts w:hint="eastAsia"/>
                <w:spacing w:val="4"/>
                <w:szCs w:val="21"/>
              </w:rPr>
              <w:t xml:space="preserve">       </w:t>
            </w:r>
            <w:r>
              <w:rPr>
                <w:spacing w:val="4"/>
                <w:szCs w:val="21"/>
              </w:rPr>
              <w:t xml:space="preserve">   </w:t>
            </w:r>
            <w:r>
              <w:rPr>
                <w:rFonts w:hint="eastAsia" w:hAnsi="宋体" w:cs="宋体"/>
                <w:spacing w:val="4"/>
                <w:szCs w:val="21"/>
              </w:rPr>
              <w:t>（签字）</w:t>
            </w:r>
          </w:p>
        </w:tc>
        <w:tc>
          <w:tcPr>
            <w:tcW w:w="1876" w:type="dxa"/>
            <w:vMerge w:val="continue"/>
            <w:tcBorders>
              <w:top w:val="single" w:color="auto" w:sz="4" w:space="0"/>
              <w:left w:val="single" w:color="auto" w:sz="6" w:space="0"/>
              <w:bottom w:val="nil"/>
              <w:right w:val="single" w:color="auto" w:sz="4" w:space="0"/>
            </w:tcBorders>
            <w:vAlign w:val="center"/>
          </w:tcPr>
          <w:p w14:paraId="40FA8D64">
            <w:pPr>
              <w:widowControl/>
              <w:jc w:val="left"/>
              <w:rPr>
                <w:spacing w:val="4"/>
                <w:szCs w:val="21"/>
              </w:rPr>
            </w:pPr>
          </w:p>
        </w:tc>
      </w:tr>
      <w:tr w14:paraId="4A4344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62" w:hRule="atLeast"/>
        </w:trPr>
        <w:tc>
          <w:tcPr>
            <w:tcW w:w="714" w:type="dxa"/>
            <w:vMerge w:val="continue"/>
            <w:tcBorders>
              <w:top w:val="single" w:color="auto" w:sz="4" w:space="0"/>
              <w:left w:val="single" w:color="auto" w:sz="4" w:space="0"/>
              <w:bottom w:val="nil"/>
              <w:right w:val="single" w:color="auto" w:sz="6" w:space="0"/>
            </w:tcBorders>
            <w:vAlign w:val="center"/>
          </w:tcPr>
          <w:p w14:paraId="3D70DD83">
            <w:pPr>
              <w:widowControl/>
              <w:jc w:val="left"/>
              <w:rPr>
                <w:spacing w:val="4"/>
                <w:sz w:val="18"/>
                <w:szCs w:val="18"/>
              </w:rPr>
            </w:pPr>
          </w:p>
        </w:tc>
        <w:tc>
          <w:tcPr>
            <w:tcW w:w="1611" w:type="dxa"/>
            <w:tcBorders>
              <w:top w:val="single" w:color="auto" w:sz="6" w:space="0"/>
              <w:left w:val="single" w:color="auto" w:sz="6" w:space="0"/>
              <w:bottom w:val="single" w:color="auto" w:sz="6" w:space="0"/>
              <w:right w:val="single" w:color="auto" w:sz="6" w:space="0"/>
            </w:tcBorders>
            <w:vAlign w:val="center"/>
          </w:tcPr>
          <w:p w14:paraId="013A5318">
            <w:pPr>
              <w:spacing w:before="60" w:after="60" w:line="360" w:lineRule="exact"/>
              <w:jc w:val="center"/>
              <w:rPr>
                <w:spacing w:val="4"/>
                <w:szCs w:val="21"/>
              </w:rPr>
            </w:pPr>
            <w:r>
              <w:rPr>
                <w:rFonts w:hint="eastAsia" w:hAnsi="宋体" w:cs="宋体"/>
                <w:spacing w:val="4"/>
                <w:szCs w:val="21"/>
              </w:rPr>
              <w:t>联系</w:t>
            </w:r>
            <w:r>
              <w:rPr>
                <w:spacing w:val="4"/>
                <w:szCs w:val="21"/>
              </w:rPr>
              <w:t>(</w:t>
            </w:r>
            <w:r>
              <w:rPr>
                <w:rFonts w:hint="eastAsia" w:hAnsi="宋体" w:cs="宋体"/>
                <w:spacing w:val="4"/>
                <w:szCs w:val="21"/>
              </w:rPr>
              <w:t>经办</w:t>
            </w:r>
            <w:r>
              <w:rPr>
                <w:spacing w:val="4"/>
                <w:szCs w:val="21"/>
              </w:rPr>
              <w:t>)</w:t>
            </w:r>
            <w:r>
              <w:rPr>
                <w:rFonts w:hint="eastAsia" w:hAnsi="宋体" w:cs="宋体"/>
                <w:spacing w:val="4"/>
                <w:szCs w:val="21"/>
              </w:rPr>
              <w:t>人</w:t>
            </w:r>
          </w:p>
        </w:tc>
        <w:tc>
          <w:tcPr>
            <w:tcW w:w="4453" w:type="dxa"/>
            <w:gridSpan w:val="4"/>
            <w:tcBorders>
              <w:top w:val="single" w:color="auto" w:sz="6" w:space="0"/>
              <w:left w:val="single" w:color="auto" w:sz="6" w:space="0"/>
              <w:bottom w:val="single" w:color="auto" w:sz="6" w:space="0"/>
              <w:right w:val="single" w:color="auto" w:sz="4" w:space="0"/>
            </w:tcBorders>
            <w:vAlign w:val="center"/>
          </w:tcPr>
          <w:p w14:paraId="6FBD1A98">
            <w:pPr>
              <w:spacing w:before="60" w:after="60" w:line="360" w:lineRule="exact"/>
              <w:ind w:firstLine="840" w:firstLineChars="350"/>
              <w:rPr>
                <w:spacing w:val="4"/>
                <w:sz w:val="24"/>
              </w:rPr>
            </w:pPr>
            <w:r>
              <w:rPr>
                <w:rFonts w:hint="eastAsia"/>
                <w:sz w:val="24"/>
              </w:rPr>
              <w:t xml:space="preserve"> </w:t>
            </w:r>
          </w:p>
        </w:tc>
        <w:tc>
          <w:tcPr>
            <w:tcW w:w="1876" w:type="dxa"/>
            <w:vMerge w:val="continue"/>
            <w:tcBorders>
              <w:top w:val="single" w:color="auto" w:sz="4" w:space="0"/>
              <w:left w:val="single" w:color="auto" w:sz="6" w:space="0"/>
              <w:bottom w:val="nil"/>
              <w:right w:val="single" w:color="auto" w:sz="4" w:space="0"/>
            </w:tcBorders>
            <w:vAlign w:val="center"/>
          </w:tcPr>
          <w:p w14:paraId="6DC4D8EC">
            <w:pPr>
              <w:widowControl/>
              <w:jc w:val="left"/>
              <w:rPr>
                <w:spacing w:val="4"/>
                <w:szCs w:val="21"/>
              </w:rPr>
            </w:pPr>
          </w:p>
        </w:tc>
      </w:tr>
      <w:tr w14:paraId="6102172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19" w:hRule="atLeast"/>
        </w:trPr>
        <w:tc>
          <w:tcPr>
            <w:tcW w:w="714" w:type="dxa"/>
            <w:vMerge w:val="continue"/>
            <w:tcBorders>
              <w:top w:val="single" w:color="auto" w:sz="4" w:space="0"/>
              <w:left w:val="single" w:color="auto" w:sz="4" w:space="0"/>
              <w:bottom w:val="nil"/>
              <w:right w:val="single" w:color="auto" w:sz="6" w:space="0"/>
            </w:tcBorders>
            <w:vAlign w:val="center"/>
          </w:tcPr>
          <w:p w14:paraId="129A4A76">
            <w:pPr>
              <w:widowControl/>
              <w:jc w:val="left"/>
              <w:rPr>
                <w:spacing w:val="4"/>
                <w:sz w:val="18"/>
                <w:szCs w:val="18"/>
              </w:rPr>
            </w:pPr>
          </w:p>
        </w:tc>
        <w:tc>
          <w:tcPr>
            <w:tcW w:w="1611" w:type="dxa"/>
            <w:tcBorders>
              <w:top w:val="single" w:color="auto" w:sz="6" w:space="0"/>
              <w:left w:val="single" w:color="auto" w:sz="6" w:space="0"/>
              <w:bottom w:val="single" w:color="auto" w:sz="6" w:space="0"/>
              <w:right w:val="single" w:color="auto" w:sz="6" w:space="0"/>
            </w:tcBorders>
          </w:tcPr>
          <w:p w14:paraId="0C5BC24B">
            <w:pPr>
              <w:spacing w:line="360" w:lineRule="exact"/>
              <w:jc w:val="center"/>
              <w:rPr>
                <w:spacing w:val="4"/>
                <w:szCs w:val="21"/>
              </w:rPr>
            </w:pPr>
            <w:r>
              <w:rPr>
                <w:rFonts w:hint="eastAsia" w:hAnsi="宋体" w:cs="宋体"/>
                <w:spacing w:val="4"/>
                <w:szCs w:val="21"/>
              </w:rPr>
              <w:t>住</w:t>
            </w:r>
            <w:r>
              <w:rPr>
                <w:spacing w:val="4"/>
                <w:szCs w:val="21"/>
              </w:rPr>
              <w:t xml:space="preserve"> </w:t>
            </w:r>
            <w:r>
              <w:rPr>
                <w:rFonts w:hint="eastAsia" w:hAnsi="宋体" w:cs="宋体"/>
                <w:spacing w:val="4"/>
                <w:szCs w:val="21"/>
              </w:rPr>
              <w:t>所</w:t>
            </w:r>
          </w:p>
          <w:p w14:paraId="1B33D3EF">
            <w:pPr>
              <w:spacing w:line="119" w:lineRule="atLeast"/>
              <w:jc w:val="center"/>
              <w:rPr>
                <w:spacing w:val="4"/>
                <w:szCs w:val="21"/>
              </w:rPr>
            </w:pPr>
            <w:r>
              <w:rPr>
                <w:spacing w:val="4"/>
                <w:szCs w:val="21"/>
              </w:rPr>
              <w:t>(</w:t>
            </w:r>
            <w:r>
              <w:rPr>
                <w:rFonts w:hint="eastAsia" w:hAnsi="宋体" w:cs="宋体"/>
                <w:spacing w:val="4"/>
                <w:szCs w:val="21"/>
              </w:rPr>
              <w:t>通讯地址</w:t>
            </w:r>
            <w:r>
              <w:rPr>
                <w:spacing w:val="4"/>
                <w:szCs w:val="21"/>
              </w:rPr>
              <w:t>)</w:t>
            </w:r>
          </w:p>
        </w:tc>
        <w:tc>
          <w:tcPr>
            <w:tcW w:w="1614" w:type="dxa"/>
            <w:tcBorders>
              <w:top w:val="single" w:color="auto" w:sz="6" w:space="0"/>
              <w:left w:val="single" w:color="auto" w:sz="6" w:space="0"/>
              <w:bottom w:val="single" w:color="auto" w:sz="6" w:space="0"/>
              <w:right w:val="single" w:color="auto" w:sz="4" w:space="0"/>
            </w:tcBorders>
            <w:vAlign w:val="center"/>
          </w:tcPr>
          <w:p w14:paraId="7AF827ED">
            <w:pPr>
              <w:spacing w:line="360" w:lineRule="exact"/>
              <w:rPr>
                <w:spacing w:val="4"/>
                <w:szCs w:val="21"/>
              </w:rPr>
            </w:pPr>
          </w:p>
        </w:tc>
        <w:tc>
          <w:tcPr>
            <w:tcW w:w="774" w:type="dxa"/>
            <w:gridSpan w:val="2"/>
            <w:tcBorders>
              <w:top w:val="single" w:color="auto" w:sz="6" w:space="0"/>
              <w:left w:val="single" w:color="auto" w:sz="4" w:space="0"/>
              <w:bottom w:val="single" w:color="auto" w:sz="6" w:space="0"/>
              <w:right w:val="single" w:color="auto" w:sz="4" w:space="0"/>
            </w:tcBorders>
            <w:vAlign w:val="center"/>
          </w:tcPr>
          <w:p w14:paraId="3D7A9E31">
            <w:pPr>
              <w:spacing w:line="360" w:lineRule="exact"/>
              <w:jc w:val="center"/>
              <w:rPr>
                <w:spacing w:val="4"/>
                <w:szCs w:val="21"/>
              </w:rPr>
            </w:pPr>
            <w:r>
              <w:rPr>
                <w:rFonts w:hint="eastAsia" w:hAnsi="宋体" w:cs="宋体"/>
                <w:spacing w:val="4"/>
                <w:szCs w:val="21"/>
              </w:rPr>
              <w:t>邮政</w:t>
            </w:r>
          </w:p>
          <w:p w14:paraId="447F3A42">
            <w:pPr>
              <w:spacing w:line="119" w:lineRule="atLeast"/>
              <w:jc w:val="center"/>
              <w:rPr>
                <w:spacing w:val="4"/>
                <w:szCs w:val="21"/>
              </w:rPr>
            </w:pPr>
            <w:r>
              <w:rPr>
                <w:rFonts w:hint="eastAsia" w:hAnsi="宋体" w:cs="宋体"/>
                <w:spacing w:val="4"/>
                <w:szCs w:val="21"/>
              </w:rPr>
              <w:t>编码</w:t>
            </w:r>
          </w:p>
        </w:tc>
        <w:tc>
          <w:tcPr>
            <w:tcW w:w="2065" w:type="dxa"/>
            <w:tcBorders>
              <w:top w:val="single" w:color="auto" w:sz="6" w:space="0"/>
              <w:left w:val="single" w:color="auto" w:sz="6" w:space="0"/>
              <w:bottom w:val="single" w:color="auto" w:sz="6" w:space="0"/>
              <w:right w:val="single" w:color="auto" w:sz="4" w:space="0"/>
            </w:tcBorders>
            <w:vAlign w:val="center"/>
          </w:tcPr>
          <w:p w14:paraId="03AFDA78">
            <w:pPr>
              <w:spacing w:line="360" w:lineRule="exact"/>
              <w:jc w:val="center"/>
              <w:rPr>
                <w:spacing w:val="4"/>
                <w:szCs w:val="21"/>
              </w:rPr>
            </w:pPr>
          </w:p>
        </w:tc>
        <w:tc>
          <w:tcPr>
            <w:tcW w:w="1876" w:type="dxa"/>
            <w:vMerge w:val="continue"/>
            <w:tcBorders>
              <w:top w:val="single" w:color="auto" w:sz="4" w:space="0"/>
              <w:left w:val="single" w:color="auto" w:sz="6" w:space="0"/>
              <w:bottom w:val="nil"/>
              <w:right w:val="single" w:color="auto" w:sz="4" w:space="0"/>
            </w:tcBorders>
            <w:vAlign w:val="center"/>
          </w:tcPr>
          <w:p w14:paraId="5AF55FC2">
            <w:pPr>
              <w:widowControl/>
              <w:jc w:val="left"/>
              <w:rPr>
                <w:spacing w:val="4"/>
                <w:szCs w:val="21"/>
              </w:rPr>
            </w:pPr>
          </w:p>
        </w:tc>
      </w:tr>
      <w:tr w14:paraId="3BFC31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62" w:hRule="atLeast"/>
        </w:trPr>
        <w:tc>
          <w:tcPr>
            <w:tcW w:w="714" w:type="dxa"/>
            <w:vMerge w:val="continue"/>
            <w:tcBorders>
              <w:top w:val="single" w:color="auto" w:sz="4" w:space="0"/>
              <w:left w:val="single" w:color="auto" w:sz="4" w:space="0"/>
              <w:bottom w:val="nil"/>
              <w:right w:val="single" w:color="auto" w:sz="6" w:space="0"/>
            </w:tcBorders>
            <w:vAlign w:val="center"/>
          </w:tcPr>
          <w:p w14:paraId="0E907632">
            <w:pPr>
              <w:widowControl/>
              <w:jc w:val="left"/>
              <w:rPr>
                <w:spacing w:val="4"/>
                <w:sz w:val="18"/>
                <w:szCs w:val="18"/>
              </w:rPr>
            </w:pPr>
          </w:p>
        </w:tc>
        <w:tc>
          <w:tcPr>
            <w:tcW w:w="1611" w:type="dxa"/>
            <w:tcBorders>
              <w:top w:val="single" w:color="auto" w:sz="6" w:space="0"/>
              <w:left w:val="single" w:color="auto" w:sz="6" w:space="0"/>
              <w:bottom w:val="single" w:color="auto" w:sz="6" w:space="0"/>
              <w:right w:val="single" w:color="auto" w:sz="6" w:space="0"/>
            </w:tcBorders>
            <w:vAlign w:val="center"/>
          </w:tcPr>
          <w:p w14:paraId="52DF10D2">
            <w:pPr>
              <w:spacing w:before="60" w:after="60" w:line="360" w:lineRule="exact"/>
              <w:jc w:val="center"/>
              <w:rPr>
                <w:spacing w:val="4"/>
                <w:szCs w:val="21"/>
              </w:rPr>
            </w:pPr>
            <w:r>
              <w:rPr>
                <w:rFonts w:hint="eastAsia" w:hAnsi="宋体" w:cs="宋体"/>
                <w:spacing w:val="4"/>
                <w:szCs w:val="21"/>
              </w:rPr>
              <w:t>电</w:t>
            </w:r>
            <w:r>
              <w:rPr>
                <w:spacing w:val="4"/>
                <w:szCs w:val="21"/>
              </w:rPr>
              <w:t xml:space="preserve"> </w:t>
            </w:r>
            <w:r>
              <w:rPr>
                <w:rFonts w:hint="eastAsia" w:hAnsi="宋体" w:cs="宋体"/>
                <w:spacing w:val="4"/>
                <w:szCs w:val="21"/>
              </w:rPr>
              <w:t>话</w:t>
            </w:r>
          </w:p>
        </w:tc>
        <w:tc>
          <w:tcPr>
            <w:tcW w:w="1614" w:type="dxa"/>
            <w:tcBorders>
              <w:top w:val="single" w:color="auto" w:sz="6" w:space="0"/>
              <w:left w:val="single" w:color="auto" w:sz="6" w:space="0"/>
              <w:bottom w:val="single" w:color="auto" w:sz="6" w:space="0"/>
              <w:right w:val="single" w:color="auto" w:sz="6" w:space="0"/>
            </w:tcBorders>
            <w:vAlign w:val="center"/>
          </w:tcPr>
          <w:p w14:paraId="048E0DEF">
            <w:pPr>
              <w:spacing w:before="60" w:after="60" w:line="360" w:lineRule="exact"/>
              <w:ind w:firstLine="218" w:firstLineChars="100"/>
              <w:rPr>
                <w:spacing w:val="4"/>
                <w:szCs w:val="21"/>
              </w:rPr>
            </w:pPr>
          </w:p>
        </w:tc>
        <w:tc>
          <w:tcPr>
            <w:tcW w:w="774" w:type="dxa"/>
            <w:gridSpan w:val="2"/>
            <w:tcBorders>
              <w:top w:val="single" w:color="auto" w:sz="6" w:space="0"/>
              <w:left w:val="single" w:color="auto" w:sz="6" w:space="0"/>
              <w:bottom w:val="single" w:color="auto" w:sz="6" w:space="0"/>
              <w:right w:val="single" w:color="auto" w:sz="6" w:space="0"/>
            </w:tcBorders>
            <w:vAlign w:val="center"/>
          </w:tcPr>
          <w:p w14:paraId="2B153753">
            <w:pPr>
              <w:spacing w:before="60" w:after="60" w:line="360" w:lineRule="exact"/>
              <w:jc w:val="center"/>
              <w:rPr>
                <w:spacing w:val="4"/>
                <w:szCs w:val="21"/>
              </w:rPr>
            </w:pPr>
            <w:r>
              <w:rPr>
                <w:rFonts w:hint="eastAsia" w:hAnsi="宋体" w:cs="宋体"/>
                <w:spacing w:val="4"/>
                <w:szCs w:val="21"/>
              </w:rPr>
              <w:t>传</w:t>
            </w:r>
            <w:r>
              <w:rPr>
                <w:spacing w:val="4"/>
                <w:szCs w:val="21"/>
              </w:rPr>
              <w:t xml:space="preserve"> </w:t>
            </w:r>
            <w:r>
              <w:rPr>
                <w:rFonts w:hint="eastAsia" w:hAnsi="宋体" w:cs="宋体"/>
                <w:spacing w:val="4"/>
                <w:szCs w:val="21"/>
              </w:rPr>
              <w:t>真</w:t>
            </w:r>
          </w:p>
        </w:tc>
        <w:tc>
          <w:tcPr>
            <w:tcW w:w="2065" w:type="dxa"/>
            <w:tcBorders>
              <w:top w:val="single" w:color="auto" w:sz="6" w:space="0"/>
              <w:left w:val="single" w:color="auto" w:sz="6" w:space="0"/>
              <w:bottom w:val="single" w:color="auto" w:sz="6" w:space="0"/>
              <w:right w:val="single" w:color="auto" w:sz="4" w:space="0"/>
            </w:tcBorders>
            <w:vAlign w:val="center"/>
          </w:tcPr>
          <w:p w14:paraId="450BDC89">
            <w:pPr>
              <w:spacing w:before="60" w:after="60" w:line="360" w:lineRule="exact"/>
              <w:jc w:val="center"/>
              <w:rPr>
                <w:spacing w:val="4"/>
                <w:szCs w:val="21"/>
              </w:rPr>
            </w:pPr>
          </w:p>
        </w:tc>
        <w:tc>
          <w:tcPr>
            <w:tcW w:w="1876" w:type="dxa"/>
            <w:vMerge w:val="continue"/>
            <w:tcBorders>
              <w:top w:val="single" w:color="auto" w:sz="4" w:space="0"/>
              <w:left w:val="single" w:color="auto" w:sz="6" w:space="0"/>
              <w:bottom w:val="nil"/>
              <w:right w:val="single" w:color="auto" w:sz="4" w:space="0"/>
            </w:tcBorders>
            <w:vAlign w:val="center"/>
          </w:tcPr>
          <w:p w14:paraId="64D67D46">
            <w:pPr>
              <w:widowControl/>
              <w:jc w:val="left"/>
              <w:rPr>
                <w:spacing w:val="4"/>
                <w:szCs w:val="21"/>
              </w:rPr>
            </w:pPr>
          </w:p>
        </w:tc>
      </w:tr>
      <w:tr w14:paraId="5687A8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61" w:hRule="atLeast"/>
        </w:trPr>
        <w:tc>
          <w:tcPr>
            <w:tcW w:w="714" w:type="dxa"/>
            <w:vMerge w:val="continue"/>
            <w:tcBorders>
              <w:top w:val="single" w:color="auto" w:sz="4" w:space="0"/>
              <w:left w:val="single" w:color="auto" w:sz="4" w:space="0"/>
              <w:bottom w:val="nil"/>
              <w:right w:val="single" w:color="auto" w:sz="6" w:space="0"/>
            </w:tcBorders>
            <w:vAlign w:val="center"/>
          </w:tcPr>
          <w:p w14:paraId="26043CAB">
            <w:pPr>
              <w:widowControl/>
              <w:jc w:val="left"/>
              <w:rPr>
                <w:spacing w:val="4"/>
                <w:sz w:val="18"/>
                <w:szCs w:val="18"/>
              </w:rPr>
            </w:pPr>
          </w:p>
        </w:tc>
        <w:tc>
          <w:tcPr>
            <w:tcW w:w="1611" w:type="dxa"/>
            <w:tcBorders>
              <w:top w:val="single" w:color="auto" w:sz="6" w:space="0"/>
              <w:left w:val="single" w:color="auto" w:sz="6" w:space="0"/>
              <w:bottom w:val="single" w:color="auto" w:sz="6" w:space="0"/>
              <w:right w:val="single" w:color="auto" w:sz="6" w:space="0"/>
            </w:tcBorders>
            <w:vAlign w:val="center"/>
          </w:tcPr>
          <w:p w14:paraId="166EEFC2">
            <w:pPr>
              <w:spacing w:before="60" w:after="60" w:line="360" w:lineRule="exact"/>
              <w:jc w:val="center"/>
              <w:rPr>
                <w:spacing w:val="4"/>
                <w:szCs w:val="21"/>
              </w:rPr>
            </w:pPr>
            <w:r>
              <w:rPr>
                <w:rFonts w:hint="eastAsia" w:hAnsi="宋体" w:cs="宋体"/>
                <w:spacing w:val="4"/>
                <w:szCs w:val="21"/>
              </w:rPr>
              <w:t>开户银行</w:t>
            </w:r>
          </w:p>
        </w:tc>
        <w:tc>
          <w:tcPr>
            <w:tcW w:w="4453" w:type="dxa"/>
            <w:gridSpan w:val="4"/>
            <w:tcBorders>
              <w:top w:val="single" w:color="auto" w:sz="6" w:space="0"/>
              <w:left w:val="single" w:color="auto" w:sz="6" w:space="0"/>
              <w:bottom w:val="single" w:color="auto" w:sz="6" w:space="0"/>
              <w:right w:val="single" w:color="auto" w:sz="4" w:space="0"/>
            </w:tcBorders>
            <w:vAlign w:val="center"/>
          </w:tcPr>
          <w:p w14:paraId="6EBB33C6">
            <w:pPr>
              <w:spacing w:before="60" w:after="60" w:line="360" w:lineRule="exact"/>
              <w:jc w:val="center"/>
              <w:rPr>
                <w:spacing w:val="4"/>
                <w:sz w:val="24"/>
              </w:rPr>
            </w:pPr>
          </w:p>
        </w:tc>
        <w:tc>
          <w:tcPr>
            <w:tcW w:w="1876" w:type="dxa"/>
            <w:vMerge w:val="continue"/>
            <w:tcBorders>
              <w:top w:val="single" w:color="auto" w:sz="4" w:space="0"/>
              <w:left w:val="single" w:color="auto" w:sz="6" w:space="0"/>
              <w:bottom w:val="nil"/>
              <w:right w:val="single" w:color="auto" w:sz="4" w:space="0"/>
            </w:tcBorders>
            <w:vAlign w:val="center"/>
          </w:tcPr>
          <w:p w14:paraId="22240AEC">
            <w:pPr>
              <w:widowControl/>
              <w:jc w:val="left"/>
              <w:rPr>
                <w:spacing w:val="4"/>
                <w:szCs w:val="21"/>
              </w:rPr>
            </w:pPr>
          </w:p>
        </w:tc>
      </w:tr>
      <w:tr w14:paraId="20DBF2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61" w:hRule="atLeast"/>
        </w:trPr>
        <w:tc>
          <w:tcPr>
            <w:tcW w:w="714" w:type="dxa"/>
            <w:vMerge w:val="continue"/>
            <w:tcBorders>
              <w:top w:val="single" w:color="auto" w:sz="4" w:space="0"/>
              <w:left w:val="single" w:color="auto" w:sz="4" w:space="0"/>
              <w:bottom w:val="nil"/>
              <w:right w:val="single" w:color="auto" w:sz="6" w:space="0"/>
            </w:tcBorders>
            <w:vAlign w:val="center"/>
          </w:tcPr>
          <w:p w14:paraId="47AC947D">
            <w:pPr>
              <w:widowControl/>
              <w:jc w:val="left"/>
              <w:rPr>
                <w:spacing w:val="4"/>
                <w:sz w:val="18"/>
                <w:szCs w:val="18"/>
              </w:rPr>
            </w:pPr>
          </w:p>
        </w:tc>
        <w:tc>
          <w:tcPr>
            <w:tcW w:w="1611" w:type="dxa"/>
            <w:tcBorders>
              <w:top w:val="single" w:color="auto" w:sz="6" w:space="0"/>
              <w:left w:val="single" w:color="auto" w:sz="6" w:space="0"/>
              <w:bottom w:val="nil"/>
              <w:right w:val="single" w:color="auto" w:sz="6" w:space="0"/>
            </w:tcBorders>
            <w:vAlign w:val="center"/>
          </w:tcPr>
          <w:p w14:paraId="50AA333E">
            <w:pPr>
              <w:spacing w:before="60" w:after="60" w:line="360" w:lineRule="exact"/>
              <w:jc w:val="center"/>
              <w:rPr>
                <w:spacing w:val="4"/>
                <w:szCs w:val="21"/>
              </w:rPr>
            </w:pPr>
            <w:r>
              <w:rPr>
                <w:rFonts w:hint="eastAsia" w:hAnsi="宋体" w:cs="宋体"/>
                <w:spacing w:val="4"/>
                <w:szCs w:val="21"/>
              </w:rPr>
              <w:t>帐</w:t>
            </w:r>
            <w:r>
              <w:rPr>
                <w:spacing w:val="4"/>
                <w:szCs w:val="21"/>
              </w:rPr>
              <w:t xml:space="preserve"> </w:t>
            </w:r>
            <w:r>
              <w:rPr>
                <w:rFonts w:hint="eastAsia" w:hAnsi="宋体" w:cs="宋体"/>
                <w:spacing w:val="4"/>
                <w:szCs w:val="21"/>
              </w:rPr>
              <w:t>号</w:t>
            </w:r>
          </w:p>
        </w:tc>
        <w:tc>
          <w:tcPr>
            <w:tcW w:w="4453" w:type="dxa"/>
            <w:gridSpan w:val="4"/>
            <w:tcBorders>
              <w:top w:val="single" w:color="auto" w:sz="6" w:space="0"/>
              <w:left w:val="single" w:color="auto" w:sz="6" w:space="0"/>
              <w:bottom w:val="nil"/>
              <w:right w:val="single" w:color="auto" w:sz="4" w:space="0"/>
            </w:tcBorders>
            <w:vAlign w:val="center"/>
          </w:tcPr>
          <w:p w14:paraId="48FA3F81">
            <w:pPr>
              <w:spacing w:before="60" w:after="60" w:line="360" w:lineRule="exact"/>
              <w:jc w:val="center"/>
              <w:rPr>
                <w:b/>
                <w:bCs/>
                <w:spacing w:val="4"/>
                <w:sz w:val="24"/>
              </w:rPr>
            </w:pPr>
          </w:p>
        </w:tc>
        <w:tc>
          <w:tcPr>
            <w:tcW w:w="1876" w:type="dxa"/>
            <w:vMerge w:val="continue"/>
            <w:tcBorders>
              <w:top w:val="single" w:color="auto" w:sz="4" w:space="0"/>
              <w:left w:val="single" w:color="auto" w:sz="6" w:space="0"/>
              <w:bottom w:val="nil"/>
              <w:right w:val="single" w:color="auto" w:sz="4" w:space="0"/>
            </w:tcBorders>
            <w:vAlign w:val="center"/>
          </w:tcPr>
          <w:p w14:paraId="374A61B0">
            <w:pPr>
              <w:widowControl/>
              <w:jc w:val="left"/>
              <w:rPr>
                <w:spacing w:val="4"/>
                <w:szCs w:val="21"/>
              </w:rPr>
            </w:pPr>
          </w:p>
        </w:tc>
      </w:tr>
      <w:tr w14:paraId="1C4365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62" w:hRule="atLeast"/>
        </w:trPr>
        <w:tc>
          <w:tcPr>
            <w:tcW w:w="714" w:type="dxa"/>
            <w:vMerge w:val="restart"/>
            <w:tcBorders>
              <w:top w:val="single" w:color="auto" w:sz="12" w:space="0"/>
              <w:left w:val="single" w:color="auto" w:sz="4" w:space="0"/>
              <w:bottom w:val="single" w:color="auto" w:sz="4" w:space="0"/>
              <w:right w:val="single" w:color="auto" w:sz="6" w:space="0"/>
            </w:tcBorders>
            <w:vAlign w:val="center"/>
          </w:tcPr>
          <w:p w14:paraId="03ADE45F">
            <w:pPr>
              <w:spacing w:before="120" w:after="120" w:line="360" w:lineRule="exact"/>
              <w:jc w:val="center"/>
              <w:rPr>
                <w:spacing w:val="4"/>
                <w:sz w:val="24"/>
              </w:rPr>
            </w:pPr>
            <w:r>
              <w:rPr>
                <w:rFonts w:hint="eastAsia" w:hAnsi="宋体" w:cs="宋体"/>
                <w:spacing w:val="4"/>
                <w:sz w:val="24"/>
              </w:rPr>
              <w:t>受</w:t>
            </w:r>
          </w:p>
          <w:p w14:paraId="67952423">
            <w:pPr>
              <w:spacing w:before="60" w:after="60" w:line="360" w:lineRule="exact"/>
              <w:jc w:val="center"/>
              <w:rPr>
                <w:spacing w:val="4"/>
                <w:sz w:val="24"/>
              </w:rPr>
            </w:pPr>
            <w:r>
              <w:rPr>
                <w:rFonts w:hint="eastAsia" w:hAnsi="宋体" w:cs="宋体"/>
                <w:spacing w:val="4"/>
                <w:sz w:val="24"/>
              </w:rPr>
              <w:t>托</w:t>
            </w:r>
          </w:p>
          <w:p w14:paraId="2ED97B04">
            <w:pPr>
              <w:spacing w:before="60" w:after="60" w:line="360" w:lineRule="exact"/>
              <w:jc w:val="center"/>
              <w:rPr>
                <w:spacing w:val="4"/>
                <w:sz w:val="24"/>
              </w:rPr>
            </w:pPr>
            <w:r>
              <w:rPr>
                <w:rFonts w:hint="eastAsia" w:hAnsi="宋体" w:cs="宋体"/>
                <w:spacing w:val="4"/>
                <w:sz w:val="24"/>
              </w:rPr>
              <w:t>人</w:t>
            </w:r>
          </w:p>
          <w:p w14:paraId="742991D3">
            <w:pPr>
              <w:spacing w:before="60" w:after="60" w:line="360" w:lineRule="exact"/>
              <w:jc w:val="center"/>
              <w:rPr>
                <w:spacing w:val="4"/>
                <w:sz w:val="24"/>
              </w:rPr>
            </w:pPr>
            <w:r>
              <w:rPr>
                <w:rFonts w:hint="eastAsia" w:hAnsi="宋体" w:cs="宋体"/>
                <w:spacing w:val="4"/>
                <w:sz w:val="24"/>
              </w:rPr>
              <w:t>︹</w:t>
            </w:r>
          </w:p>
          <w:p w14:paraId="6DD535BD">
            <w:pPr>
              <w:spacing w:before="60" w:after="60" w:line="360" w:lineRule="exact"/>
              <w:jc w:val="center"/>
              <w:rPr>
                <w:spacing w:val="4"/>
                <w:sz w:val="24"/>
              </w:rPr>
            </w:pPr>
            <w:r>
              <w:rPr>
                <w:rFonts w:hint="eastAsia" w:hAnsi="宋体" w:cs="宋体"/>
                <w:spacing w:val="4"/>
                <w:sz w:val="24"/>
              </w:rPr>
              <w:t>乙</w:t>
            </w:r>
          </w:p>
          <w:p w14:paraId="117EC033">
            <w:pPr>
              <w:spacing w:before="60" w:after="60" w:line="360" w:lineRule="exact"/>
              <w:jc w:val="center"/>
              <w:rPr>
                <w:spacing w:val="4"/>
                <w:sz w:val="24"/>
              </w:rPr>
            </w:pPr>
            <w:r>
              <w:rPr>
                <w:rFonts w:hint="eastAsia" w:hAnsi="宋体" w:cs="宋体"/>
                <w:spacing w:val="4"/>
                <w:sz w:val="24"/>
              </w:rPr>
              <w:t>方</w:t>
            </w:r>
          </w:p>
          <w:p w14:paraId="71938A30">
            <w:pPr>
              <w:spacing w:before="60" w:after="60" w:line="360" w:lineRule="exact"/>
              <w:jc w:val="center"/>
              <w:rPr>
                <w:spacing w:val="4"/>
                <w:sz w:val="18"/>
                <w:szCs w:val="18"/>
              </w:rPr>
            </w:pPr>
            <w:r>
              <w:rPr>
                <w:rFonts w:hint="eastAsia" w:hAnsi="宋体" w:cs="宋体"/>
                <w:spacing w:val="4"/>
                <w:sz w:val="24"/>
              </w:rPr>
              <w:t>︺</w:t>
            </w:r>
          </w:p>
        </w:tc>
        <w:tc>
          <w:tcPr>
            <w:tcW w:w="1611" w:type="dxa"/>
            <w:tcBorders>
              <w:top w:val="single" w:color="auto" w:sz="12" w:space="0"/>
              <w:left w:val="single" w:color="auto" w:sz="6" w:space="0"/>
              <w:bottom w:val="single" w:color="auto" w:sz="6" w:space="0"/>
              <w:right w:val="single" w:color="auto" w:sz="6" w:space="0"/>
            </w:tcBorders>
            <w:vAlign w:val="center"/>
          </w:tcPr>
          <w:p w14:paraId="18C3618C">
            <w:pPr>
              <w:spacing w:before="60" w:after="60" w:line="360" w:lineRule="exact"/>
              <w:jc w:val="center"/>
              <w:rPr>
                <w:spacing w:val="4"/>
                <w:szCs w:val="21"/>
              </w:rPr>
            </w:pPr>
            <w:r>
              <w:rPr>
                <w:rFonts w:hint="eastAsia" w:hAnsi="宋体" w:cs="宋体"/>
                <w:spacing w:val="4"/>
                <w:szCs w:val="21"/>
              </w:rPr>
              <w:t>名称</w:t>
            </w:r>
            <w:r>
              <w:rPr>
                <w:spacing w:val="4"/>
                <w:szCs w:val="21"/>
              </w:rPr>
              <w:t>(</w:t>
            </w:r>
            <w:r>
              <w:rPr>
                <w:rFonts w:hint="eastAsia" w:hAnsi="宋体" w:cs="宋体"/>
                <w:spacing w:val="4"/>
                <w:szCs w:val="21"/>
              </w:rPr>
              <w:t>或姓名</w:t>
            </w:r>
            <w:r>
              <w:rPr>
                <w:spacing w:val="4"/>
                <w:szCs w:val="21"/>
              </w:rPr>
              <w:t>)</w:t>
            </w:r>
          </w:p>
        </w:tc>
        <w:tc>
          <w:tcPr>
            <w:tcW w:w="4453" w:type="dxa"/>
            <w:gridSpan w:val="4"/>
            <w:tcBorders>
              <w:top w:val="single" w:color="auto" w:sz="12" w:space="0"/>
              <w:left w:val="single" w:color="auto" w:sz="6" w:space="0"/>
              <w:bottom w:val="single" w:color="auto" w:sz="6" w:space="0"/>
              <w:right w:val="single" w:color="auto" w:sz="4" w:space="0"/>
            </w:tcBorders>
            <w:vAlign w:val="center"/>
          </w:tcPr>
          <w:p w14:paraId="183EC518">
            <w:pPr>
              <w:spacing w:before="60" w:after="60" w:line="360" w:lineRule="exact"/>
              <w:jc w:val="center"/>
              <w:rPr>
                <w:spacing w:val="4"/>
                <w:szCs w:val="21"/>
              </w:rPr>
            </w:pPr>
          </w:p>
        </w:tc>
        <w:tc>
          <w:tcPr>
            <w:tcW w:w="1876" w:type="dxa"/>
            <w:vMerge w:val="restart"/>
            <w:tcBorders>
              <w:top w:val="single" w:color="auto" w:sz="12" w:space="0"/>
              <w:left w:val="single" w:color="auto" w:sz="6" w:space="0"/>
              <w:bottom w:val="single" w:color="auto" w:sz="4" w:space="0"/>
              <w:right w:val="single" w:color="auto" w:sz="4" w:space="0"/>
            </w:tcBorders>
          </w:tcPr>
          <w:p w14:paraId="5410B380">
            <w:pPr>
              <w:spacing w:before="60" w:after="60" w:line="360" w:lineRule="exact"/>
              <w:jc w:val="center"/>
              <w:rPr>
                <w:spacing w:val="4"/>
                <w:szCs w:val="21"/>
              </w:rPr>
            </w:pPr>
          </w:p>
          <w:p w14:paraId="34044A2A">
            <w:pPr>
              <w:spacing w:before="60" w:after="60" w:line="360" w:lineRule="exact"/>
              <w:jc w:val="center"/>
              <w:rPr>
                <w:spacing w:val="4"/>
                <w:szCs w:val="21"/>
              </w:rPr>
            </w:pPr>
            <w:r>
              <w:rPr>
                <w:rFonts w:hint="eastAsia" w:hAnsi="宋体" w:cs="宋体"/>
                <w:spacing w:val="4"/>
                <w:szCs w:val="21"/>
              </w:rPr>
              <w:t>合同专用章</w:t>
            </w:r>
          </w:p>
          <w:p w14:paraId="173D8B52">
            <w:pPr>
              <w:spacing w:before="120" w:after="120" w:line="360" w:lineRule="exact"/>
              <w:jc w:val="center"/>
              <w:rPr>
                <w:spacing w:val="4"/>
                <w:sz w:val="24"/>
              </w:rPr>
            </w:pPr>
            <w:r>
              <w:rPr>
                <w:rFonts w:hint="eastAsia" w:hAnsi="宋体" w:cs="宋体"/>
                <w:spacing w:val="4"/>
                <w:sz w:val="24"/>
              </w:rPr>
              <w:t>或</w:t>
            </w:r>
          </w:p>
          <w:p w14:paraId="1CC07D62">
            <w:pPr>
              <w:spacing w:before="60" w:after="60" w:line="360" w:lineRule="exact"/>
              <w:jc w:val="center"/>
              <w:rPr>
                <w:spacing w:val="4"/>
                <w:szCs w:val="21"/>
              </w:rPr>
            </w:pPr>
            <w:r>
              <w:rPr>
                <w:rFonts w:hint="eastAsia" w:hAnsi="宋体" w:cs="宋体"/>
                <w:spacing w:val="4"/>
                <w:szCs w:val="21"/>
              </w:rPr>
              <w:t>单位公章</w:t>
            </w:r>
          </w:p>
          <w:p w14:paraId="324F169C">
            <w:pPr>
              <w:spacing w:before="60" w:after="60" w:line="360" w:lineRule="exact"/>
              <w:jc w:val="center"/>
              <w:rPr>
                <w:spacing w:val="4"/>
                <w:szCs w:val="21"/>
              </w:rPr>
            </w:pPr>
          </w:p>
          <w:p w14:paraId="6F76ADF2">
            <w:pPr>
              <w:spacing w:before="60" w:after="60" w:line="360" w:lineRule="exact"/>
              <w:jc w:val="center"/>
              <w:rPr>
                <w:spacing w:val="4"/>
                <w:szCs w:val="21"/>
              </w:rPr>
            </w:pPr>
          </w:p>
          <w:p w14:paraId="35B0903E">
            <w:pPr>
              <w:spacing w:before="60" w:after="60" w:line="360" w:lineRule="exact"/>
              <w:jc w:val="center"/>
              <w:rPr>
                <w:spacing w:val="4"/>
                <w:szCs w:val="21"/>
              </w:rPr>
            </w:pPr>
          </w:p>
          <w:p w14:paraId="207C0255">
            <w:pPr>
              <w:spacing w:before="60" w:after="60" w:line="360" w:lineRule="exact"/>
              <w:jc w:val="center"/>
              <w:rPr>
                <w:spacing w:val="4"/>
                <w:szCs w:val="21"/>
              </w:rPr>
            </w:pPr>
          </w:p>
          <w:p w14:paraId="685B0A12">
            <w:pPr>
              <w:spacing w:before="60" w:after="60" w:line="360" w:lineRule="exact"/>
              <w:jc w:val="center"/>
              <w:rPr>
                <w:spacing w:val="4"/>
                <w:szCs w:val="21"/>
              </w:rPr>
            </w:pPr>
          </w:p>
          <w:p w14:paraId="4370C5AA">
            <w:pPr>
              <w:spacing w:before="60" w:after="60" w:line="360" w:lineRule="exact"/>
              <w:jc w:val="center"/>
              <w:rPr>
                <w:spacing w:val="4"/>
                <w:szCs w:val="21"/>
              </w:rPr>
            </w:pPr>
          </w:p>
          <w:p w14:paraId="72E750C9">
            <w:pPr>
              <w:spacing w:before="60" w:after="60" w:line="360" w:lineRule="exact"/>
              <w:jc w:val="center"/>
              <w:rPr>
                <w:spacing w:val="4"/>
                <w:szCs w:val="21"/>
              </w:rPr>
            </w:pPr>
          </w:p>
          <w:p w14:paraId="66D36997">
            <w:pPr>
              <w:spacing w:before="60" w:after="60" w:line="360" w:lineRule="exact"/>
              <w:jc w:val="center"/>
              <w:rPr>
                <w:spacing w:val="4"/>
                <w:szCs w:val="21"/>
              </w:rPr>
            </w:pPr>
          </w:p>
          <w:p w14:paraId="63D96805">
            <w:pPr>
              <w:spacing w:before="60" w:after="60" w:line="360" w:lineRule="exact"/>
              <w:jc w:val="center"/>
              <w:rPr>
                <w:spacing w:val="4"/>
                <w:szCs w:val="21"/>
              </w:rPr>
            </w:pPr>
          </w:p>
          <w:p w14:paraId="6654D9DF">
            <w:pPr>
              <w:spacing w:before="60" w:after="60" w:line="360" w:lineRule="exact"/>
              <w:jc w:val="center"/>
              <w:rPr>
                <w:spacing w:val="4"/>
                <w:szCs w:val="21"/>
              </w:rPr>
            </w:pPr>
          </w:p>
          <w:p w14:paraId="11F94E3F">
            <w:pPr>
              <w:spacing w:before="60" w:after="60" w:line="360" w:lineRule="exact"/>
              <w:jc w:val="center"/>
              <w:rPr>
                <w:spacing w:val="4"/>
                <w:szCs w:val="21"/>
              </w:rPr>
            </w:pPr>
            <w:r>
              <w:rPr>
                <w:rFonts w:hint="eastAsia" w:hAnsi="宋体" w:cs="宋体"/>
                <w:spacing w:val="4"/>
                <w:szCs w:val="21"/>
              </w:rPr>
              <w:t>2025年 月 日</w:t>
            </w:r>
          </w:p>
        </w:tc>
      </w:tr>
      <w:tr w14:paraId="558CDA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825" w:hRule="atLeast"/>
        </w:trPr>
        <w:tc>
          <w:tcPr>
            <w:tcW w:w="714" w:type="dxa"/>
            <w:vMerge w:val="continue"/>
            <w:tcBorders>
              <w:top w:val="single" w:color="auto" w:sz="12" w:space="0"/>
              <w:left w:val="single" w:color="auto" w:sz="4" w:space="0"/>
              <w:bottom w:val="single" w:color="auto" w:sz="4" w:space="0"/>
              <w:right w:val="single" w:color="auto" w:sz="6" w:space="0"/>
            </w:tcBorders>
            <w:vAlign w:val="center"/>
          </w:tcPr>
          <w:p w14:paraId="539147B5">
            <w:pPr>
              <w:widowControl/>
              <w:jc w:val="left"/>
              <w:rPr>
                <w:spacing w:val="4"/>
                <w:sz w:val="18"/>
                <w:szCs w:val="18"/>
              </w:rPr>
            </w:pPr>
          </w:p>
        </w:tc>
        <w:tc>
          <w:tcPr>
            <w:tcW w:w="1611" w:type="dxa"/>
            <w:tcBorders>
              <w:top w:val="single" w:color="auto" w:sz="6" w:space="0"/>
              <w:left w:val="single" w:color="auto" w:sz="6" w:space="0"/>
              <w:bottom w:val="single" w:color="auto" w:sz="6" w:space="0"/>
              <w:right w:val="single" w:color="auto" w:sz="6" w:space="0"/>
            </w:tcBorders>
            <w:vAlign w:val="center"/>
          </w:tcPr>
          <w:p w14:paraId="12D5784D">
            <w:pPr>
              <w:spacing w:before="120" w:after="120" w:line="360" w:lineRule="exact"/>
              <w:jc w:val="center"/>
              <w:rPr>
                <w:spacing w:val="4"/>
                <w:szCs w:val="21"/>
              </w:rPr>
            </w:pPr>
            <w:r>
              <w:rPr>
                <w:rFonts w:hint="eastAsia" w:hAnsi="宋体" w:cs="宋体"/>
                <w:spacing w:val="4"/>
                <w:szCs w:val="21"/>
              </w:rPr>
              <w:t>法定代表人或授权人</w:t>
            </w:r>
          </w:p>
        </w:tc>
        <w:tc>
          <w:tcPr>
            <w:tcW w:w="4453" w:type="dxa"/>
            <w:gridSpan w:val="4"/>
            <w:tcBorders>
              <w:top w:val="single" w:color="auto" w:sz="6" w:space="0"/>
              <w:left w:val="single" w:color="auto" w:sz="6" w:space="0"/>
              <w:bottom w:val="single" w:color="auto" w:sz="6" w:space="0"/>
              <w:right w:val="single" w:color="auto" w:sz="4" w:space="0"/>
            </w:tcBorders>
            <w:vAlign w:val="center"/>
          </w:tcPr>
          <w:p w14:paraId="1C07F31E">
            <w:pPr>
              <w:spacing w:before="120" w:after="120" w:line="360" w:lineRule="exact"/>
              <w:ind w:right="436" w:firstLine="1526" w:firstLineChars="700"/>
              <w:rPr>
                <w:spacing w:val="4"/>
                <w:szCs w:val="21"/>
              </w:rPr>
            </w:pPr>
            <w:r>
              <w:rPr>
                <w:rFonts w:hint="eastAsia" w:hAnsi="宋体" w:cs="宋体"/>
                <w:spacing w:val="4"/>
                <w:szCs w:val="21"/>
              </w:rPr>
              <w:t>（签字）</w:t>
            </w:r>
          </w:p>
        </w:tc>
        <w:tc>
          <w:tcPr>
            <w:tcW w:w="1876" w:type="dxa"/>
            <w:vMerge w:val="continue"/>
            <w:tcBorders>
              <w:top w:val="single" w:color="auto" w:sz="12" w:space="0"/>
              <w:left w:val="single" w:color="auto" w:sz="6" w:space="0"/>
              <w:bottom w:val="single" w:color="auto" w:sz="4" w:space="0"/>
              <w:right w:val="single" w:color="auto" w:sz="4" w:space="0"/>
            </w:tcBorders>
            <w:vAlign w:val="center"/>
          </w:tcPr>
          <w:p w14:paraId="56030F64">
            <w:pPr>
              <w:widowControl/>
              <w:jc w:val="left"/>
              <w:rPr>
                <w:spacing w:val="4"/>
                <w:szCs w:val="21"/>
              </w:rPr>
            </w:pPr>
          </w:p>
        </w:tc>
      </w:tr>
      <w:tr w14:paraId="53BBD7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399" w:hRule="atLeast"/>
        </w:trPr>
        <w:tc>
          <w:tcPr>
            <w:tcW w:w="714" w:type="dxa"/>
            <w:vMerge w:val="continue"/>
            <w:tcBorders>
              <w:top w:val="single" w:color="auto" w:sz="12" w:space="0"/>
              <w:left w:val="single" w:color="auto" w:sz="4" w:space="0"/>
              <w:bottom w:val="single" w:color="auto" w:sz="4" w:space="0"/>
              <w:right w:val="single" w:color="auto" w:sz="6" w:space="0"/>
            </w:tcBorders>
            <w:vAlign w:val="center"/>
          </w:tcPr>
          <w:p w14:paraId="7EE62E07">
            <w:pPr>
              <w:widowControl/>
              <w:jc w:val="left"/>
              <w:rPr>
                <w:spacing w:val="4"/>
                <w:sz w:val="18"/>
                <w:szCs w:val="18"/>
              </w:rPr>
            </w:pPr>
          </w:p>
        </w:tc>
        <w:tc>
          <w:tcPr>
            <w:tcW w:w="1611" w:type="dxa"/>
            <w:tcBorders>
              <w:top w:val="single" w:color="auto" w:sz="6" w:space="0"/>
              <w:left w:val="single" w:color="auto" w:sz="6" w:space="0"/>
              <w:bottom w:val="single" w:color="auto" w:sz="6" w:space="0"/>
              <w:right w:val="single" w:color="auto" w:sz="6" w:space="0"/>
            </w:tcBorders>
            <w:vAlign w:val="center"/>
          </w:tcPr>
          <w:p w14:paraId="41C33C09">
            <w:pPr>
              <w:spacing w:before="60" w:after="60" w:line="360" w:lineRule="exact"/>
              <w:jc w:val="center"/>
              <w:rPr>
                <w:spacing w:val="4"/>
                <w:szCs w:val="21"/>
              </w:rPr>
            </w:pPr>
            <w:r>
              <w:rPr>
                <w:rFonts w:hint="eastAsia" w:hAnsi="宋体" w:cs="宋体"/>
                <w:spacing w:val="4"/>
                <w:szCs w:val="21"/>
              </w:rPr>
              <w:t>联系</w:t>
            </w:r>
            <w:r>
              <w:rPr>
                <w:spacing w:val="4"/>
                <w:szCs w:val="21"/>
              </w:rPr>
              <w:t>(</w:t>
            </w:r>
            <w:r>
              <w:rPr>
                <w:rFonts w:hint="eastAsia" w:hAnsi="宋体" w:cs="宋体"/>
                <w:spacing w:val="4"/>
                <w:szCs w:val="21"/>
              </w:rPr>
              <w:t>经办</w:t>
            </w:r>
            <w:r>
              <w:rPr>
                <w:spacing w:val="4"/>
                <w:szCs w:val="21"/>
              </w:rPr>
              <w:t>)</w:t>
            </w:r>
            <w:r>
              <w:rPr>
                <w:rFonts w:hint="eastAsia" w:hAnsi="宋体" w:cs="宋体"/>
                <w:spacing w:val="4"/>
                <w:szCs w:val="21"/>
              </w:rPr>
              <w:t>人</w:t>
            </w:r>
          </w:p>
        </w:tc>
        <w:tc>
          <w:tcPr>
            <w:tcW w:w="4453" w:type="dxa"/>
            <w:gridSpan w:val="4"/>
            <w:tcBorders>
              <w:top w:val="single" w:color="auto" w:sz="6" w:space="0"/>
              <w:left w:val="single" w:color="auto" w:sz="6" w:space="0"/>
              <w:bottom w:val="single" w:color="auto" w:sz="6" w:space="0"/>
              <w:right w:val="single" w:color="auto" w:sz="6" w:space="0"/>
            </w:tcBorders>
            <w:vAlign w:val="center"/>
          </w:tcPr>
          <w:p w14:paraId="64890214">
            <w:pPr>
              <w:spacing w:before="60" w:after="60" w:line="360" w:lineRule="exact"/>
              <w:ind w:firstLine="1736" w:firstLineChars="700"/>
              <w:rPr>
                <w:spacing w:val="4"/>
                <w:sz w:val="24"/>
              </w:rPr>
            </w:pPr>
          </w:p>
        </w:tc>
        <w:tc>
          <w:tcPr>
            <w:tcW w:w="1876" w:type="dxa"/>
            <w:vMerge w:val="continue"/>
            <w:tcBorders>
              <w:top w:val="single" w:color="auto" w:sz="12" w:space="0"/>
              <w:left w:val="single" w:color="auto" w:sz="6" w:space="0"/>
              <w:bottom w:val="single" w:color="auto" w:sz="4" w:space="0"/>
              <w:right w:val="single" w:color="auto" w:sz="4" w:space="0"/>
            </w:tcBorders>
            <w:vAlign w:val="center"/>
          </w:tcPr>
          <w:p w14:paraId="2B7EC71C">
            <w:pPr>
              <w:widowControl/>
              <w:jc w:val="left"/>
              <w:rPr>
                <w:spacing w:val="4"/>
                <w:szCs w:val="21"/>
              </w:rPr>
            </w:pPr>
          </w:p>
        </w:tc>
      </w:tr>
      <w:tr w14:paraId="1C0A3A3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935" w:hRule="atLeast"/>
        </w:trPr>
        <w:tc>
          <w:tcPr>
            <w:tcW w:w="714" w:type="dxa"/>
            <w:vMerge w:val="continue"/>
            <w:tcBorders>
              <w:top w:val="single" w:color="auto" w:sz="12" w:space="0"/>
              <w:left w:val="single" w:color="auto" w:sz="4" w:space="0"/>
              <w:bottom w:val="single" w:color="auto" w:sz="4" w:space="0"/>
              <w:right w:val="single" w:color="auto" w:sz="6" w:space="0"/>
            </w:tcBorders>
            <w:vAlign w:val="center"/>
          </w:tcPr>
          <w:p w14:paraId="4D90B456">
            <w:pPr>
              <w:widowControl/>
              <w:jc w:val="left"/>
              <w:rPr>
                <w:spacing w:val="4"/>
                <w:sz w:val="18"/>
                <w:szCs w:val="18"/>
              </w:rPr>
            </w:pPr>
          </w:p>
        </w:tc>
        <w:tc>
          <w:tcPr>
            <w:tcW w:w="1611" w:type="dxa"/>
            <w:tcBorders>
              <w:top w:val="single" w:color="auto" w:sz="6" w:space="0"/>
              <w:left w:val="single" w:color="auto" w:sz="6" w:space="0"/>
              <w:bottom w:val="single" w:color="auto" w:sz="6" w:space="0"/>
              <w:right w:val="single" w:color="auto" w:sz="6" w:space="0"/>
            </w:tcBorders>
            <w:vAlign w:val="center"/>
          </w:tcPr>
          <w:p w14:paraId="092A3A4E">
            <w:pPr>
              <w:spacing w:line="360" w:lineRule="exact"/>
              <w:jc w:val="center"/>
              <w:rPr>
                <w:spacing w:val="4"/>
                <w:szCs w:val="21"/>
              </w:rPr>
            </w:pPr>
            <w:r>
              <w:rPr>
                <w:rFonts w:hint="eastAsia" w:hAnsi="宋体" w:cs="宋体"/>
                <w:spacing w:val="4"/>
                <w:szCs w:val="21"/>
              </w:rPr>
              <w:t>住</w:t>
            </w:r>
            <w:r>
              <w:rPr>
                <w:spacing w:val="4"/>
                <w:szCs w:val="21"/>
              </w:rPr>
              <w:t xml:space="preserve"> </w:t>
            </w:r>
            <w:r>
              <w:rPr>
                <w:rFonts w:hint="eastAsia" w:hAnsi="宋体" w:cs="宋体"/>
                <w:spacing w:val="4"/>
                <w:szCs w:val="21"/>
              </w:rPr>
              <w:t>所</w:t>
            </w:r>
          </w:p>
          <w:p w14:paraId="5419D4DA">
            <w:pPr>
              <w:spacing w:line="360" w:lineRule="exact"/>
              <w:jc w:val="center"/>
              <w:rPr>
                <w:spacing w:val="4"/>
                <w:szCs w:val="21"/>
              </w:rPr>
            </w:pPr>
            <w:r>
              <w:rPr>
                <w:spacing w:val="4"/>
                <w:szCs w:val="21"/>
              </w:rPr>
              <w:t>(</w:t>
            </w:r>
            <w:r>
              <w:rPr>
                <w:rFonts w:hint="eastAsia" w:hAnsi="宋体" w:cs="宋体"/>
                <w:spacing w:val="4"/>
                <w:szCs w:val="21"/>
              </w:rPr>
              <w:t>通讯地址</w:t>
            </w:r>
            <w:r>
              <w:rPr>
                <w:spacing w:val="4"/>
                <w:szCs w:val="21"/>
              </w:rPr>
              <w:t>)</w:t>
            </w:r>
          </w:p>
        </w:tc>
        <w:tc>
          <w:tcPr>
            <w:tcW w:w="1614" w:type="dxa"/>
            <w:tcBorders>
              <w:top w:val="single" w:color="auto" w:sz="6" w:space="0"/>
              <w:left w:val="single" w:color="auto" w:sz="6" w:space="0"/>
              <w:bottom w:val="single" w:color="auto" w:sz="6" w:space="0"/>
              <w:right w:val="single" w:color="auto" w:sz="6" w:space="0"/>
            </w:tcBorders>
            <w:vAlign w:val="center"/>
          </w:tcPr>
          <w:p w14:paraId="5CFECF3D">
            <w:pPr>
              <w:spacing w:line="360" w:lineRule="exact"/>
              <w:jc w:val="center"/>
              <w:rPr>
                <w:spacing w:val="4"/>
                <w:sz w:val="18"/>
                <w:szCs w:val="18"/>
              </w:rPr>
            </w:pPr>
          </w:p>
        </w:tc>
        <w:tc>
          <w:tcPr>
            <w:tcW w:w="698" w:type="dxa"/>
            <w:tcBorders>
              <w:top w:val="single" w:color="auto" w:sz="6" w:space="0"/>
              <w:left w:val="single" w:color="auto" w:sz="6" w:space="0"/>
              <w:bottom w:val="single" w:color="auto" w:sz="6" w:space="0"/>
              <w:right w:val="single" w:color="auto" w:sz="6" w:space="0"/>
            </w:tcBorders>
            <w:vAlign w:val="center"/>
          </w:tcPr>
          <w:p w14:paraId="46F7BB40">
            <w:pPr>
              <w:spacing w:line="360" w:lineRule="exact"/>
              <w:jc w:val="center"/>
              <w:rPr>
                <w:spacing w:val="4"/>
                <w:szCs w:val="21"/>
              </w:rPr>
            </w:pPr>
            <w:r>
              <w:rPr>
                <w:rFonts w:hint="eastAsia" w:hAnsi="宋体" w:cs="宋体"/>
                <w:spacing w:val="4"/>
                <w:szCs w:val="21"/>
              </w:rPr>
              <w:t>邮政</w:t>
            </w:r>
          </w:p>
          <w:p w14:paraId="281C34CA">
            <w:pPr>
              <w:spacing w:line="360" w:lineRule="exact"/>
              <w:jc w:val="center"/>
              <w:rPr>
                <w:spacing w:val="4"/>
                <w:sz w:val="24"/>
              </w:rPr>
            </w:pPr>
            <w:r>
              <w:rPr>
                <w:rFonts w:hint="eastAsia" w:hAnsi="宋体" w:cs="宋体"/>
                <w:spacing w:val="4"/>
                <w:szCs w:val="21"/>
              </w:rPr>
              <w:t>编码</w:t>
            </w:r>
          </w:p>
        </w:tc>
        <w:tc>
          <w:tcPr>
            <w:tcW w:w="2141" w:type="dxa"/>
            <w:gridSpan w:val="2"/>
            <w:tcBorders>
              <w:top w:val="single" w:color="auto" w:sz="6" w:space="0"/>
              <w:left w:val="single" w:color="auto" w:sz="6" w:space="0"/>
              <w:bottom w:val="single" w:color="auto" w:sz="6" w:space="0"/>
              <w:right w:val="single" w:color="auto" w:sz="6" w:space="0"/>
            </w:tcBorders>
            <w:vAlign w:val="center"/>
          </w:tcPr>
          <w:p w14:paraId="666EF3BD">
            <w:pPr>
              <w:spacing w:line="360" w:lineRule="exact"/>
              <w:jc w:val="center"/>
              <w:rPr>
                <w:spacing w:val="4"/>
                <w:szCs w:val="21"/>
              </w:rPr>
            </w:pPr>
          </w:p>
        </w:tc>
        <w:tc>
          <w:tcPr>
            <w:tcW w:w="1876" w:type="dxa"/>
            <w:vMerge w:val="continue"/>
            <w:tcBorders>
              <w:top w:val="single" w:color="auto" w:sz="12" w:space="0"/>
              <w:left w:val="single" w:color="auto" w:sz="6" w:space="0"/>
              <w:bottom w:val="single" w:color="auto" w:sz="4" w:space="0"/>
              <w:right w:val="single" w:color="auto" w:sz="4" w:space="0"/>
            </w:tcBorders>
            <w:vAlign w:val="center"/>
          </w:tcPr>
          <w:p w14:paraId="66D73864">
            <w:pPr>
              <w:widowControl/>
              <w:jc w:val="left"/>
              <w:rPr>
                <w:spacing w:val="4"/>
                <w:szCs w:val="21"/>
              </w:rPr>
            </w:pPr>
          </w:p>
        </w:tc>
      </w:tr>
      <w:tr w14:paraId="642C28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561" w:hRule="atLeast"/>
        </w:trPr>
        <w:tc>
          <w:tcPr>
            <w:tcW w:w="714" w:type="dxa"/>
            <w:vMerge w:val="continue"/>
            <w:tcBorders>
              <w:top w:val="single" w:color="auto" w:sz="12" w:space="0"/>
              <w:left w:val="single" w:color="auto" w:sz="4" w:space="0"/>
              <w:bottom w:val="single" w:color="auto" w:sz="4" w:space="0"/>
              <w:right w:val="single" w:color="auto" w:sz="6" w:space="0"/>
            </w:tcBorders>
            <w:vAlign w:val="center"/>
          </w:tcPr>
          <w:p w14:paraId="7EFB13F8">
            <w:pPr>
              <w:widowControl/>
              <w:jc w:val="left"/>
              <w:rPr>
                <w:spacing w:val="4"/>
                <w:sz w:val="18"/>
                <w:szCs w:val="18"/>
              </w:rPr>
            </w:pPr>
          </w:p>
        </w:tc>
        <w:tc>
          <w:tcPr>
            <w:tcW w:w="1611" w:type="dxa"/>
            <w:tcBorders>
              <w:top w:val="single" w:color="auto" w:sz="6" w:space="0"/>
              <w:left w:val="single" w:color="auto" w:sz="6" w:space="0"/>
              <w:bottom w:val="single" w:color="auto" w:sz="6" w:space="0"/>
              <w:right w:val="single" w:color="auto" w:sz="6" w:space="0"/>
            </w:tcBorders>
            <w:vAlign w:val="center"/>
          </w:tcPr>
          <w:p w14:paraId="23D453D0">
            <w:pPr>
              <w:spacing w:before="60" w:after="60" w:line="360" w:lineRule="exact"/>
              <w:jc w:val="center"/>
              <w:rPr>
                <w:spacing w:val="4"/>
                <w:szCs w:val="21"/>
              </w:rPr>
            </w:pPr>
            <w:r>
              <w:rPr>
                <w:rFonts w:hint="eastAsia" w:hAnsi="宋体" w:cs="宋体"/>
                <w:spacing w:val="4"/>
                <w:szCs w:val="21"/>
              </w:rPr>
              <w:t>电</w:t>
            </w:r>
            <w:r>
              <w:rPr>
                <w:spacing w:val="4"/>
                <w:szCs w:val="21"/>
              </w:rPr>
              <w:t xml:space="preserve"> </w:t>
            </w:r>
            <w:r>
              <w:rPr>
                <w:rFonts w:hint="eastAsia" w:hAnsi="宋体" w:cs="宋体"/>
                <w:spacing w:val="4"/>
                <w:szCs w:val="21"/>
              </w:rPr>
              <w:t>话</w:t>
            </w:r>
          </w:p>
        </w:tc>
        <w:tc>
          <w:tcPr>
            <w:tcW w:w="1614" w:type="dxa"/>
            <w:tcBorders>
              <w:top w:val="single" w:color="auto" w:sz="6" w:space="0"/>
              <w:left w:val="single" w:color="auto" w:sz="6" w:space="0"/>
              <w:bottom w:val="single" w:color="auto" w:sz="6" w:space="0"/>
              <w:right w:val="single" w:color="auto" w:sz="6" w:space="0"/>
            </w:tcBorders>
            <w:vAlign w:val="center"/>
          </w:tcPr>
          <w:p w14:paraId="4F9D7188">
            <w:pPr>
              <w:spacing w:before="60" w:after="60" w:line="360" w:lineRule="exact"/>
              <w:jc w:val="center"/>
              <w:rPr>
                <w:spacing w:val="4"/>
                <w:szCs w:val="21"/>
              </w:rPr>
            </w:pPr>
          </w:p>
        </w:tc>
        <w:tc>
          <w:tcPr>
            <w:tcW w:w="698" w:type="dxa"/>
            <w:tcBorders>
              <w:top w:val="single" w:color="auto" w:sz="6" w:space="0"/>
              <w:left w:val="single" w:color="auto" w:sz="6" w:space="0"/>
              <w:bottom w:val="single" w:color="auto" w:sz="6" w:space="0"/>
              <w:right w:val="single" w:color="auto" w:sz="4" w:space="0"/>
            </w:tcBorders>
            <w:vAlign w:val="center"/>
          </w:tcPr>
          <w:p w14:paraId="54CC53C7">
            <w:pPr>
              <w:spacing w:before="60" w:after="60" w:line="360" w:lineRule="exact"/>
              <w:jc w:val="center"/>
              <w:rPr>
                <w:spacing w:val="4"/>
                <w:sz w:val="24"/>
              </w:rPr>
            </w:pPr>
            <w:r>
              <w:rPr>
                <w:rFonts w:hint="eastAsia" w:hAnsi="宋体" w:cs="宋体"/>
                <w:spacing w:val="4"/>
                <w:szCs w:val="21"/>
              </w:rPr>
              <w:t>传</w:t>
            </w:r>
            <w:r>
              <w:rPr>
                <w:spacing w:val="4"/>
                <w:szCs w:val="21"/>
              </w:rPr>
              <w:t xml:space="preserve"> </w:t>
            </w:r>
            <w:r>
              <w:rPr>
                <w:rFonts w:hint="eastAsia" w:hAnsi="宋体" w:cs="宋体"/>
                <w:spacing w:val="4"/>
                <w:szCs w:val="21"/>
              </w:rPr>
              <w:t>真</w:t>
            </w:r>
          </w:p>
        </w:tc>
        <w:tc>
          <w:tcPr>
            <w:tcW w:w="2141" w:type="dxa"/>
            <w:gridSpan w:val="2"/>
            <w:tcBorders>
              <w:top w:val="single" w:color="auto" w:sz="6" w:space="0"/>
              <w:left w:val="single" w:color="auto" w:sz="4" w:space="0"/>
              <w:bottom w:val="single" w:color="auto" w:sz="6" w:space="0"/>
              <w:right w:val="single" w:color="auto" w:sz="6" w:space="0"/>
            </w:tcBorders>
            <w:vAlign w:val="center"/>
          </w:tcPr>
          <w:p w14:paraId="2BC263E7">
            <w:pPr>
              <w:spacing w:before="60" w:after="60" w:line="360" w:lineRule="exact"/>
              <w:jc w:val="center"/>
              <w:rPr>
                <w:spacing w:val="4"/>
                <w:szCs w:val="21"/>
              </w:rPr>
            </w:pPr>
          </w:p>
        </w:tc>
        <w:tc>
          <w:tcPr>
            <w:tcW w:w="1876" w:type="dxa"/>
            <w:vMerge w:val="continue"/>
            <w:tcBorders>
              <w:top w:val="single" w:color="auto" w:sz="12" w:space="0"/>
              <w:left w:val="single" w:color="auto" w:sz="6" w:space="0"/>
              <w:bottom w:val="single" w:color="auto" w:sz="4" w:space="0"/>
              <w:right w:val="single" w:color="auto" w:sz="4" w:space="0"/>
            </w:tcBorders>
            <w:vAlign w:val="center"/>
          </w:tcPr>
          <w:p w14:paraId="301EF081">
            <w:pPr>
              <w:widowControl/>
              <w:jc w:val="left"/>
              <w:rPr>
                <w:spacing w:val="4"/>
                <w:szCs w:val="21"/>
              </w:rPr>
            </w:pPr>
          </w:p>
        </w:tc>
      </w:tr>
      <w:tr w14:paraId="3C5D47F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462" w:hRule="atLeast"/>
        </w:trPr>
        <w:tc>
          <w:tcPr>
            <w:tcW w:w="714" w:type="dxa"/>
            <w:vMerge w:val="continue"/>
            <w:tcBorders>
              <w:top w:val="single" w:color="auto" w:sz="12" w:space="0"/>
              <w:left w:val="single" w:color="auto" w:sz="4" w:space="0"/>
              <w:bottom w:val="single" w:color="auto" w:sz="4" w:space="0"/>
              <w:right w:val="single" w:color="auto" w:sz="6" w:space="0"/>
            </w:tcBorders>
            <w:vAlign w:val="center"/>
          </w:tcPr>
          <w:p w14:paraId="7835986D">
            <w:pPr>
              <w:widowControl/>
              <w:jc w:val="left"/>
              <w:rPr>
                <w:spacing w:val="4"/>
                <w:sz w:val="18"/>
                <w:szCs w:val="18"/>
              </w:rPr>
            </w:pPr>
          </w:p>
        </w:tc>
        <w:tc>
          <w:tcPr>
            <w:tcW w:w="1611" w:type="dxa"/>
            <w:tcBorders>
              <w:top w:val="single" w:color="auto" w:sz="6" w:space="0"/>
              <w:left w:val="single" w:color="auto" w:sz="6" w:space="0"/>
              <w:bottom w:val="single" w:color="auto" w:sz="6" w:space="0"/>
              <w:right w:val="single" w:color="auto" w:sz="6" w:space="0"/>
            </w:tcBorders>
            <w:vAlign w:val="center"/>
          </w:tcPr>
          <w:p w14:paraId="20229306">
            <w:pPr>
              <w:spacing w:before="60" w:after="60" w:line="360" w:lineRule="exact"/>
              <w:jc w:val="center"/>
              <w:rPr>
                <w:spacing w:val="4"/>
                <w:szCs w:val="21"/>
              </w:rPr>
            </w:pPr>
            <w:r>
              <w:rPr>
                <w:rFonts w:hint="eastAsia" w:hAnsi="宋体" w:cs="宋体"/>
                <w:spacing w:val="4"/>
                <w:szCs w:val="21"/>
              </w:rPr>
              <w:t>开户银行</w:t>
            </w:r>
          </w:p>
        </w:tc>
        <w:tc>
          <w:tcPr>
            <w:tcW w:w="4453" w:type="dxa"/>
            <w:gridSpan w:val="4"/>
            <w:tcBorders>
              <w:top w:val="single" w:color="auto" w:sz="6" w:space="0"/>
              <w:left w:val="single" w:color="auto" w:sz="6" w:space="0"/>
              <w:bottom w:val="single" w:color="auto" w:sz="6" w:space="0"/>
              <w:right w:val="single" w:color="auto" w:sz="4" w:space="0"/>
            </w:tcBorders>
            <w:vAlign w:val="center"/>
          </w:tcPr>
          <w:p w14:paraId="4474F682">
            <w:pPr>
              <w:spacing w:before="60" w:after="60" w:line="360" w:lineRule="exact"/>
              <w:ind w:firstLine="109" w:firstLineChars="50"/>
              <w:jc w:val="center"/>
              <w:rPr>
                <w:spacing w:val="4"/>
                <w:szCs w:val="21"/>
              </w:rPr>
            </w:pPr>
          </w:p>
        </w:tc>
        <w:tc>
          <w:tcPr>
            <w:tcW w:w="1876" w:type="dxa"/>
            <w:vMerge w:val="continue"/>
            <w:tcBorders>
              <w:top w:val="single" w:color="auto" w:sz="12" w:space="0"/>
              <w:left w:val="single" w:color="auto" w:sz="6" w:space="0"/>
              <w:bottom w:val="single" w:color="auto" w:sz="4" w:space="0"/>
              <w:right w:val="single" w:color="auto" w:sz="4" w:space="0"/>
            </w:tcBorders>
            <w:vAlign w:val="center"/>
          </w:tcPr>
          <w:p w14:paraId="62D16DF6">
            <w:pPr>
              <w:widowControl/>
              <w:jc w:val="left"/>
              <w:rPr>
                <w:spacing w:val="4"/>
                <w:szCs w:val="21"/>
              </w:rPr>
            </w:pPr>
          </w:p>
        </w:tc>
      </w:tr>
      <w:tr w14:paraId="6100642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2344" w:hRule="atLeast"/>
        </w:trPr>
        <w:tc>
          <w:tcPr>
            <w:tcW w:w="714" w:type="dxa"/>
            <w:vMerge w:val="continue"/>
            <w:tcBorders>
              <w:top w:val="single" w:color="auto" w:sz="12" w:space="0"/>
              <w:left w:val="single" w:color="auto" w:sz="4" w:space="0"/>
              <w:bottom w:val="single" w:color="auto" w:sz="4" w:space="0"/>
              <w:right w:val="single" w:color="auto" w:sz="6" w:space="0"/>
            </w:tcBorders>
            <w:vAlign w:val="center"/>
          </w:tcPr>
          <w:p w14:paraId="77E91D23">
            <w:pPr>
              <w:widowControl/>
              <w:jc w:val="left"/>
              <w:rPr>
                <w:spacing w:val="4"/>
                <w:sz w:val="18"/>
                <w:szCs w:val="18"/>
              </w:rPr>
            </w:pPr>
          </w:p>
        </w:tc>
        <w:tc>
          <w:tcPr>
            <w:tcW w:w="1611" w:type="dxa"/>
            <w:tcBorders>
              <w:top w:val="single" w:color="auto" w:sz="6" w:space="0"/>
              <w:left w:val="single" w:color="auto" w:sz="6" w:space="0"/>
              <w:bottom w:val="single" w:color="auto" w:sz="4" w:space="0"/>
              <w:right w:val="single" w:color="auto" w:sz="6" w:space="0"/>
            </w:tcBorders>
            <w:vAlign w:val="center"/>
          </w:tcPr>
          <w:p w14:paraId="76C637E2">
            <w:pPr>
              <w:spacing w:before="60" w:after="60" w:line="360" w:lineRule="exact"/>
              <w:jc w:val="center"/>
              <w:rPr>
                <w:spacing w:val="4"/>
                <w:szCs w:val="21"/>
              </w:rPr>
            </w:pPr>
            <w:r>
              <w:rPr>
                <w:rFonts w:hint="eastAsia" w:hAnsi="宋体" w:cs="宋体"/>
                <w:spacing w:val="4"/>
                <w:szCs w:val="21"/>
              </w:rPr>
              <w:t>帐</w:t>
            </w:r>
            <w:r>
              <w:rPr>
                <w:spacing w:val="4"/>
                <w:szCs w:val="21"/>
              </w:rPr>
              <w:t xml:space="preserve"> </w:t>
            </w:r>
            <w:r>
              <w:rPr>
                <w:rFonts w:hint="eastAsia" w:hAnsi="宋体" w:cs="宋体"/>
                <w:spacing w:val="4"/>
                <w:szCs w:val="21"/>
              </w:rPr>
              <w:t>号</w:t>
            </w:r>
          </w:p>
        </w:tc>
        <w:tc>
          <w:tcPr>
            <w:tcW w:w="4453" w:type="dxa"/>
            <w:gridSpan w:val="4"/>
            <w:tcBorders>
              <w:top w:val="single" w:color="auto" w:sz="6" w:space="0"/>
              <w:left w:val="single" w:color="auto" w:sz="6" w:space="0"/>
              <w:bottom w:val="single" w:color="auto" w:sz="4" w:space="0"/>
              <w:right w:val="single" w:color="auto" w:sz="6" w:space="0"/>
            </w:tcBorders>
            <w:vAlign w:val="center"/>
          </w:tcPr>
          <w:p w14:paraId="34DC4375">
            <w:pPr>
              <w:spacing w:before="60" w:after="60" w:line="360" w:lineRule="exact"/>
              <w:jc w:val="center"/>
              <w:rPr>
                <w:spacing w:val="4"/>
                <w:sz w:val="32"/>
                <w:szCs w:val="32"/>
              </w:rPr>
            </w:pPr>
          </w:p>
        </w:tc>
        <w:tc>
          <w:tcPr>
            <w:tcW w:w="1876" w:type="dxa"/>
            <w:vMerge w:val="continue"/>
            <w:tcBorders>
              <w:top w:val="single" w:color="auto" w:sz="12" w:space="0"/>
              <w:left w:val="single" w:color="auto" w:sz="6" w:space="0"/>
              <w:bottom w:val="single" w:color="auto" w:sz="4" w:space="0"/>
              <w:right w:val="single" w:color="auto" w:sz="4" w:space="0"/>
            </w:tcBorders>
            <w:vAlign w:val="center"/>
          </w:tcPr>
          <w:p w14:paraId="00725C95">
            <w:pPr>
              <w:widowControl/>
              <w:jc w:val="left"/>
              <w:rPr>
                <w:spacing w:val="4"/>
                <w:szCs w:val="21"/>
              </w:rPr>
            </w:pPr>
          </w:p>
        </w:tc>
      </w:tr>
    </w:tbl>
    <w:p w14:paraId="42EEED3A">
      <w:pPr>
        <w:pStyle w:val="27"/>
        <w:rPr>
          <w:rFonts w:ascii="仿宋_GB2312" w:hAnsi="宋体" w:eastAsia="仿宋_GB2312"/>
          <w:color w:val="auto"/>
        </w:rPr>
      </w:pPr>
    </w:p>
    <w:p w14:paraId="4F8DD235">
      <w:pPr>
        <w:pStyle w:val="32"/>
        <w:widowControl/>
        <w:spacing w:beforeLines="0" w:line="300" w:lineRule="auto"/>
        <w:rPr>
          <w:sz w:val="36"/>
          <w:szCs w:val="36"/>
        </w:rPr>
      </w:pPr>
    </w:p>
    <w:p w14:paraId="580E8F6C">
      <w:pPr>
        <w:pStyle w:val="32"/>
        <w:widowControl/>
        <w:spacing w:beforeLines="0" w:line="300" w:lineRule="auto"/>
        <w:rPr>
          <w:sz w:val="36"/>
          <w:szCs w:val="36"/>
        </w:rPr>
      </w:pPr>
    </w:p>
    <w:p w14:paraId="6FA23F09">
      <w:pPr>
        <w:pStyle w:val="32"/>
        <w:widowControl/>
        <w:spacing w:beforeLines="0" w:line="300" w:lineRule="auto"/>
        <w:rPr>
          <w:sz w:val="36"/>
          <w:szCs w:val="36"/>
        </w:rPr>
      </w:pPr>
    </w:p>
    <w:p w14:paraId="71F97F7C">
      <w:pPr>
        <w:pStyle w:val="32"/>
        <w:widowControl/>
        <w:spacing w:beforeLines="0" w:line="300" w:lineRule="auto"/>
        <w:jc w:val="both"/>
        <w:rPr>
          <w:rFonts w:ascii="方正小标宋简体" w:hAnsi="方正小标宋简体" w:eastAsia="方正小标宋简体" w:cs="方正小标宋简体"/>
          <w:kern w:val="0"/>
          <w:szCs w:val="21"/>
        </w:rPr>
      </w:pPr>
      <w:r>
        <w:rPr>
          <w:rFonts w:hint="eastAsia" w:ascii="方正小标宋简体" w:hAnsi="方正小标宋简体" w:eastAsia="方正小标宋简体" w:cs="方正小标宋简体"/>
          <w:kern w:val="0"/>
          <w:szCs w:val="21"/>
        </w:rPr>
        <w:t>第五章</w:t>
      </w:r>
      <w:r>
        <w:rPr>
          <w:rFonts w:ascii="方正小标宋简体" w:hAnsi="方正小标宋简体" w:eastAsia="方正小标宋简体" w:cs="方正小标宋简体"/>
          <w:kern w:val="0"/>
          <w:szCs w:val="21"/>
        </w:rPr>
        <w:t xml:space="preserve"> </w:t>
      </w:r>
      <w:r>
        <w:rPr>
          <w:rFonts w:hint="eastAsia" w:ascii="方正小标宋简体" w:hAnsi="方正小标宋简体" w:eastAsia="方正小标宋简体" w:cs="方正小标宋简体"/>
          <w:kern w:val="0"/>
          <w:szCs w:val="21"/>
        </w:rPr>
        <w:t>响应文件格式及内容</w:t>
      </w:r>
    </w:p>
    <w:p w14:paraId="11C6B4DB">
      <w:pPr>
        <w:autoSpaceDE w:val="0"/>
        <w:autoSpaceDN w:val="0"/>
        <w:adjustRightInd w:val="0"/>
        <w:spacing w:line="300" w:lineRule="auto"/>
        <w:ind w:firstLine="2940" w:firstLineChars="1400"/>
        <w:rPr>
          <w:rFonts w:ascii="Times New Roman" w:hAnsi="Times New Roman" w:eastAsia="黑体"/>
          <w:shd w:val="clear" w:color="auto" w:fill="FFFFFF"/>
        </w:rPr>
      </w:pPr>
    </w:p>
    <w:p w14:paraId="3D23DCBC">
      <w:pPr>
        <w:autoSpaceDE w:val="0"/>
        <w:autoSpaceDN w:val="0"/>
        <w:adjustRightInd w:val="0"/>
        <w:spacing w:line="300" w:lineRule="auto"/>
        <w:ind w:firstLine="6160" w:firstLineChars="1400"/>
        <w:jc w:val="right"/>
        <w:rPr>
          <w:rFonts w:ascii="Times New Roman" w:hAnsi="Times New Roman" w:eastAsia="黑体"/>
          <w:sz w:val="44"/>
          <w:szCs w:val="44"/>
        </w:rPr>
      </w:pPr>
      <w:r>
        <w:rPr>
          <w:rFonts w:hint="eastAsia" w:ascii="Times New Roman" w:hAnsi="Times New Roman" w:eastAsia="黑体"/>
          <w:sz w:val="44"/>
          <w:szCs w:val="44"/>
          <w:bdr w:val="single" w:color="auto" w:sz="4" w:space="0"/>
        </w:rPr>
        <w:t>正本</w:t>
      </w:r>
      <w:r>
        <w:rPr>
          <w:rFonts w:ascii="Times New Roman" w:hAnsi="Times New Roman" w:eastAsia="黑体"/>
          <w:sz w:val="44"/>
          <w:szCs w:val="44"/>
          <w:bdr w:val="single" w:color="auto" w:sz="4" w:space="0"/>
        </w:rPr>
        <w:t>/</w:t>
      </w:r>
      <w:r>
        <w:rPr>
          <w:rFonts w:hint="eastAsia" w:ascii="Times New Roman" w:hAnsi="Times New Roman" w:eastAsia="黑体"/>
          <w:sz w:val="44"/>
          <w:szCs w:val="44"/>
          <w:bdr w:val="single" w:color="auto" w:sz="4" w:space="0"/>
        </w:rPr>
        <w:t>副本</w:t>
      </w:r>
    </w:p>
    <w:p w14:paraId="414FE30F">
      <w:pPr>
        <w:spacing w:line="300" w:lineRule="auto"/>
        <w:rPr>
          <w:rFonts w:ascii="Times New Roman" w:hAnsi="Times New Roman"/>
          <w:szCs w:val="21"/>
        </w:rPr>
      </w:pPr>
    </w:p>
    <w:p w14:paraId="4B8382CA">
      <w:pPr>
        <w:spacing w:line="300" w:lineRule="auto"/>
        <w:jc w:val="center"/>
        <w:rPr>
          <w:rFonts w:ascii="Times New Roman" w:hAnsi="Times New Roman" w:eastAsia="黑体"/>
          <w:sz w:val="36"/>
          <w:szCs w:val="36"/>
        </w:rPr>
      </w:pPr>
      <w:r>
        <w:rPr>
          <w:rFonts w:ascii="Times New Roman" w:hAnsi="Times New Roman" w:eastAsia="黑体"/>
          <w:sz w:val="36"/>
          <w:szCs w:val="36"/>
          <w:u w:val="single"/>
        </w:rPr>
        <w:t xml:space="preserve">                      </w:t>
      </w:r>
      <w:r>
        <w:rPr>
          <w:rFonts w:hint="eastAsia" w:ascii="Times New Roman" w:hAnsi="Times New Roman" w:eastAsia="黑体"/>
          <w:sz w:val="36"/>
          <w:szCs w:val="36"/>
        </w:rPr>
        <w:t>（项目名称）</w:t>
      </w:r>
    </w:p>
    <w:p w14:paraId="31230A32">
      <w:pPr>
        <w:spacing w:line="300" w:lineRule="auto"/>
        <w:rPr>
          <w:rFonts w:ascii="Times New Roman" w:hAnsi="Times New Roman"/>
          <w:b/>
          <w:szCs w:val="21"/>
        </w:rPr>
      </w:pPr>
    </w:p>
    <w:p w14:paraId="2FAA3454">
      <w:pPr>
        <w:spacing w:line="300" w:lineRule="auto"/>
        <w:jc w:val="center"/>
        <w:rPr>
          <w:rFonts w:ascii="Times New Roman" w:hAnsi="Times New Roman"/>
          <w:b/>
          <w:szCs w:val="21"/>
        </w:rPr>
      </w:pPr>
    </w:p>
    <w:p w14:paraId="3E48B35E">
      <w:pPr>
        <w:spacing w:line="300" w:lineRule="auto"/>
        <w:rPr>
          <w:rFonts w:ascii="Times New Roman" w:hAnsi="Times New Roman"/>
          <w:b/>
          <w:szCs w:val="21"/>
        </w:rPr>
      </w:pPr>
    </w:p>
    <w:p w14:paraId="716EFD01">
      <w:pPr>
        <w:spacing w:line="300" w:lineRule="auto"/>
        <w:rPr>
          <w:rFonts w:ascii="Times New Roman" w:hAnsi="Times New Roman"/>
          <w:b/>
          <w:szCs w:val="21"/>
        </w:rPr>
      </w:pPr>
    </w:p>
    <w:p w14:paraId="4D51DD8D">
      <w:pPr>
        <w:spacing w:line="300" w:lineRule="auto"/>
        <w:rPr>
          <w:rFonts w:ascii="Times New Roman" w:hAnsi="Times New Roman"/>
          <w:b/>
          <w:szCs w:val="21"/>
        </w:rPr>
      </w:pPr>
    </w:p>
    <w:p w14:paraId="1E92A730">
      <w:pPr>
        <w:spacing w:line="300" w:lineRule="auto"/>
        <w:rPr>
          <w:rFonts w:ascii="Times New Roman" w:hAnsi="Times New Roman"/>
          <w:b/>
          <w:szCs w:val="21"/>
        </w:rPr>
      </w:pPr>
    </w:p>
    <w:p w14:paraId="2234AE63">
      <w:pPr>
        <w:spacing w:line="300" w:lineRule="auto"/>
        <w:jc w:val="center"/>
        <w:rPr>
          <w:rFonts w:ascii="Times New Roman" w:hAnsi="Times New Roman" w:eastAsia="黑体"/>
          <w:sz w:val="36"/>
          <w:szCs w:val="36"/>
        </w:rPr>
      </w:pPr>
      <w:r>
        <w:rPr>
          <w:rFonts w:hint="eastAsia" w:ascii="Times New Roman" w:hAnsi="Times New Roman" w:eastAsia="黑体"/>
          <w:sz w:val="36"/>
          <w:szCs w:val="36"/>
        </w:rPr>
        <w:t>响应文件</w:t>
      </w:r>
    </w:p>
    <w:p w14:paraId="6B59C2B4">
      <w:pPr>
        <w:spacing w:line="300" w:lineRule="auto"/>
        <w:rPr>
          <w:rFonts w:ascii="Times New Roman" w:hAnsi="Times New Roman"/>
          <w:b/>
          <w:szCs w:val="21"/>
        </w:rPr>
      </w:pPr>
    </w:p>
    <w:p w14:paraId="0A8080B0">
      <w:pPr>
        <w:spacing w:line="300" w:lineRule="auto"/>
        <w:rPr>
          <w:rFonts w:ascii="Times New Roman" w:hAnsi="Times New Roman"/>
          <w:szCs w:val="21"/>
        </w:rPr>
      </w:pPr>
    </w:p>
    <w:p w14:paraId="06711B3E">
      <w:pPr>
        <w:spacing w:line="300" w:lineRule="auto"/>
        <w:rPr>
          <w:rFonts w:ascii="Times New Roman" w:hAnsi="Times New Roman"/>
          <w:szCs w:val="21"/>
        </w:rPr>
      </w:pPr>
    </w:p>
    <w:p w14:paraId="0ACAF441">
      <w:pPr>
        <w:spacing w:line="300" w:lineRule="auto"/>
        <w:rPr>
          <w:rFonts w:ascii="Times New Roman" w:hAnsi="Times New Roman"/>
          <w:szCs w:val="21"/>
        </w:rPr>
      </w:pPr>
    </w:p>
    <w:p w14:paraId="4E00FE66">
      <w:pPr>
        <w:spacing w:line="300" w:lineRule="auto"/>
        <w:rPr>
          <w:rFonts w:ascii="Times New Roman" w:hAnsi="Times New Roman"/>
          <w:szCs w:val="21"/>
        </w:rPr>
      </w:pPr>
    </w:p>
    <w:p w14:paraId="497EFCA8">
      <w:pPr>
        <w:spacing w:line="300" w:lineRule="auto"/>
        <w:rPr>
          <w:rFonts w:ascii="Times New Roman" w:hAnsi="Times New Roman"/>
          <w:szCs w:val="21"/>
        </w:rPr>
      </w:pPr>
    </w:p>
    <w:p w14:paraId="21492D1D">
      <w:pPr>
        <w:spacing w:line="300" w:lineRule="auto"/>
        <w:rPr>
          <w:rFonts w:ascii="Times New Roman" w:hAnsi="Times New Roman"/>
          <w:szCs w:val="21"/>
        </w:rPr>
      </w:pPr>
    </w:p>
    <w:p w14:paraId="27DAB65C">
      <w:pPr>
        <w:spacing w:line="300" w:lineRule="auto"/>
        <w:rPr>
          <w:rFonts w:ascii="Times New Roman" w:hAnsi="Times New Roman"/>
          <w:szCs w:val="21"/>
        </w:rPr>
      </w:pPr>
    </w:p>
    <w:p w14:paraId="1175A43A">
      <w:pPr>
        <w:spacing w:line="300" w:lineRule="auto"/>
        <w:ind w:firstLine="140" w:firstLineChars="50"/>
        <w:rPr>
          <w:rFonts w:ascii="Times New Roman" w:hAnsi="Times New Roman" w:eastAsia="黑体"/>
          <w:sz w:val="28"/>
          <w:szCs w:val="28"/>
          <w:u w:val="single"/>
        </w:rPr>
      </w:pPr>
      <w:r>
        <w:rPr>
          <w:rFonts w:hint="eastAsia" w:ascii="Times New Roman" w:hAnsi="Times New Roman" w:eastAsia="黑体"/>
          <w:sz w:val="28"/>
          <w:szCs w:val="28"/>
        </w:rPr>
        <w:t>供应商：</w:t>
      </w:r>
      <w:r>
        <w:rPr>
          <w:rFonts w:ascii="Times New Roman" w:hAnsi="Times New Roman" w:eastAsia="黑体"/>
          <w:sz w:val="28"/>
          <w:szCs w:val="28"/>
          <w:u w:val="single"/>
        </w:rPr>
        <w:t xml:space="preserve">                                       </w:t>
      </w:r>
      <w:r>
        <w:rPr>
          <w:rFonts w:hint="eastAsia" w:ascii="Times New Roman" w:hAnsi="Times New Roman" w:eastAsia="黑体"/>
          <w:sz w:val="28"/>
          <w:szCs w:val="28"/>
        </w:rPr>
        <w:t>（盖单位公章）</w:t>
      </w:r>
    </w:p>
    <w:p w14:paraId="3818679E">
      <w:pPr>
        <w:spacing w:line="300" w:lineRule="auto"/>
        <w:jc w:val="center"/>
        <w:rPr>
          <w:rFonts w:ascii="Times New Roman" w:hAnsi="Times New Roman" w:eastAsia="黑体"/>
          <w:sz w:val="28"/>
          <w:szCs w:val="28"/>
        </w:rPr>
      </w:pPr>
      <w:r>
        <w:rPr>
          <w:rFonts w:hint="eastAsia" w:ascii="Times New Roman" w:hAnsi="Times New Roman" w:eastAsia="黑体"/>
          <w:sz w:val="28"/>
          <w:szCs w:val="28"/>
        </w:rPr>
        <w:t>法定代表人或其委托代理人：</w:t>
      </w:r>
      <w:r>
        <w:rPr>
          <w:rFonts w:ascii="Times New Roman" w:hAnsi="Times New Roman" w:eastAsia="黑体"/>
          <w:sz w:val="28"/>
          <w:szCs w:val="28"/>
          <w:u w:val="single"/>
        </w:rPr>
        <w:t xml:space="preserve">                    </w:t>
      </w:r>
      <w:r>
        <w:rPr>
          <w:rFonts w:hint="eastAsia" w:ascii="Times New Roman" w:hAnsi="Times New Roman" w:eastAsia="黑体"/>
          <w:sz w:val="28"/>
          <w:szCs w:val="28"/>
        </w:rPr>
        <w:t>（签字或盖章）</w:t>
      </w:r>
    </w:p>
    <w:p w14:paraId="2241F728">
      <w:pPr>
        <w:spacing w:line="300" w:lineRule="auto"/>
        <w:jc w:val="center"/>
        <w:rPr>
          <w:rFonts w:ascii="Times New Roman" w:hAnsi="Times New Roman" w:eastAsia="黑体"/>
          <w:sz w:val="28"/>
          <w:szCs w:val="28"/>
          <w:u w:val="single"/>
        </w:rPr>
      </w:pPr>
    </w:p>
    <w:p w14:paraId="7057EAF9">
      <w:pPr>
        <w:spacing w:line="300" w:lineRule="auto"/>
        <w:jc w:val="center"/>
        <w:rPr>
          <w:rFonts w:ascii="Times New Roman" w:hAnsi="Times New Roman" w:eastAsia="黑体"/>
          <w:sz w:val="28"/>
          <w:szCs w:val="28"/>
        </w:rPr>
        <w:sectPr>
          <w:footerReference r:id="rId8" w:type="default"/>
          <w:footerReference r:id="rId9" w:type="even"/>
          <w:pgSz w:w="11906" w:h="16838"/>
          <w:pgMar w:top="1418" w:right="1644" w:bottom="1247" w:left="1644" w:header="851" w:footer="992" w:gutter="0"/>
          <w:cols w:space="720" w:num="1"/>
          <w:docGrid w:type="lines" w:linePitch="312" w:charSpace="0"/>
        </w:sectPr>
      </w:pPr>
      <w:r>
        <w:rPr>
          <w:rFonts w:ascii="Times New Roman" w:hAnsi="Times New Roman" w:eastAsia="黑体"/>
          <w:sz w:val="28"/>
          <w:szCs w:val="28"/>
          <w:u w:val="single"/>
        </w:rPr>
        <w:t xml:space="preserve">      </w:t>
      </w:r>
      <w:r>
        <w:rPr>
          <w:rFonts w:hint="eastAsia" w:ascii="Times New Roman" w:hAnsi="Times New Roman" w:eastAsia="黑体"/>
          <w:sz w:val="28"/>
          <w:szCs w:val="28"/>
        </w:rPr>
        <w:t>年</w:t>
      </w:r>
      <w:r>
        <w:rPr>
          <w:rFonts w:ascii="Times New Roman" w:hAnsi="Times New Roman" w:eastAsia="黑体"/>
          <w:sz w:val="28"/>
          <w:szCs w:val="28"/>
        </w:rPr>
        <w:t xml:space="preserve"> </w:t>
      </w:r>
      <w:r>
        <w:rPr>
          <w:rFonts w:ascii="Times New Roman" w:hAnsi="Times New Roman" w:eastAsia="黑体"/>
          <w:sz w:val="28"/>
          <w:szCs w:val="28"/>
          <w:u w:val="single"/>
        </w:rPr>
        <w:t xml:space="preserve">   </w:t>
      </w:r>
      <w:r>
        <w:rPr>
          <w:rFonts w:ascii="Times New Roman" w:hAnsi="Times New Roman" w:eastAsia="黑体"/>
          <w:sz w:val="28"/>
          <w:szCs w:val="28"/>
        </w:rPr>
        <w:t xml:space="preserve"> </w:t>
      </w:r>
      <w:r>
        <w:rPr>
          <w:rFonts w:hint="eastAsia" w:ascii="Times New Roman" w:hAnsi="Times New Roman" w:eastAsia="黑体"/>
          <w:sz w:val="28"/>
          <w:szCs w:val="28"/>
        </w:rPr>
        <w:t>月</w:t>
      </w:r>
      <w:r>
        <w:rPr>
          <w:rFonts w:ascii="Times New Roman" w:hAnsi="Times New Roman" w:eastAsia="黑体"/>
          <w:sz w:val="28"/>
          <w:szCs w:val="28"/>
        </w:rPr>
        <w:t xml:space="preserve">  </w:t>
      </w:r>
      <w:r>
        <w:rPr>
          <w:rFonts w:ascii="Times New Roman" w:hAnsi="Times New Roman" w:eastAsia="黑体"/>
          <w:sz w:val="28"/>
          <w:szCs w:val="28"/>
          <w:u w:val="single"/>
        </w:rPr>
        <w:t xml:space="preserve">    </w:t>
      </w:r>
      <w:r>
        <w:rPr>
          <w:rFonts w:hint="eastAsia" w:ascii="Times New Roman" w:hAnsi="Times New Roman" w:eastAsia="黑体"/>
          <w:sz w:val="28"/>
          <w:szCs w:val="28"/>
        </w:rPr>
        <w:t>日</w:t>
      </w:r>
    </w:p>
    <w:p w14:paraId="7507CA92">
      <w:pPr>
        <w:pStyle w:val="4"/>
        <w:spacing w:before="0" w:after="0" w:line="300" w:lineRule="auto"/>
        <w:jc w:val="center"/>
        <w:rPr>
          <w:rFonts w:ascii="Times New Roman" w:hAnsi="Times New Roman"/>
        </w:rPr>
      </w:pPr>
      <w:r>
        <w:rPr>
          <w:rFonts w:hint="eastAsia" w:ascii="Times New Roman" w:hAnsi="Times New Roman"/>
        </w:rPr>
        <w:t>目</w:t>
      </w:r>
      <w:r>
        <w:rPr>
          <w:rFonts w:ascii="Times New Roman" w:hAnsi="Times New Roman"/>
        </w:rPr>
        <w:t xml:space="preserve">    </w:t>
      </w:r>
      <w:r>
        <w:rPr>
          <w:rFonts w:hint="eastAsia" w:ascii="Times New Roman" w:hAnsi="Times New Roman"/>
        </w:rPr>
        <w:t>录</w:t>
      </w:r>
    </w:p>
    <w:p w14:paraId="4A2B9423">
      <w:pPr>
        <w:spacing w:line="300" w:lineRule="auto"/>
        <w:rPr>
          <w:rFonts w:ascii="Times New Roman" w:hAnsi="Times New Roman"/>
        </w:rPr>
      </w:pPr>
    </w:p>
    <w:p w14:paraId="00149ED5">
      <w:pPr>
        <w:ind w:firstLine="420" w:firstLineChars="150"/>
        <w:rPr>
          <w:sz w:val="28"/>
          <w:szCs w:val="28"/>
        </w:rPr>
      </w:pPr>
      <w:r>
        <w:rPr>
          <w:rFonts w:hint="eastAsia"/>
          <w:sz w:val="28"/>
          <w:szCs w:val="28"/>
        </w:rPr>
        <w:t>第一部分：商务部分</w:t>
      </w:r>
    </w:p>
    <w:p w14:paraId="53A73576">
      <w:pPr>
        <w:spacing w:line="360" w:lineRule="auto"/>
        <w:ind w:firstLine="420" w:firstLineChars="200"/>
        <w:rPr>
          <w:rFonts w:cs="仿宋"/>
        </w:rPr>
      </w:pPr>
      <w:r>
        <w:rPr>
          <w:rFonts w:hint="eastAsia" w:cs="仿宋"/>
        </w:rPr>
        <w:t>1、报价函</w:t>
      </w:r>
    </w:p>
    <w:p w14:paraId="12BA99C6">
      <w:pPr>
        <w:pStyle w:val="15"/>
        <w:ind w:left="0" w:leftChars="0" w:firstLine="0" w:firstLineChars="0"/>
      </w:pPr>
      <w:r>
        <w:rPr>
          <w:rFonts w:hint="eastAsia"/>
        </w:rPr>
        <w:t xml:space="preserve">    2、法定代表人身份证明</w:t>
      </w:r>
    </w:p>
    <w:p w14:paraId="36F1700F">
      <w:pPr>
        <w:spacing w:line="360" w:lineRule="auto"/>
        <w:ind w:firstLine="420" w:firstLineChars="200"/>
        <w:rPr>
          <w:rFonts w:cs="仿宋"/>
        </w:rPr>
      </w:pPr>
      <w:r>
        <w:rPr>
          <w:rFonts w:hint="eastAsia" w:cs="仿宋"/>
        </w:rPr>
        <w:t>3、授权委托书</w:t>
      </w:r>
    </w:p>
    <w:p w14:paraId="2CFAEE94">
      <w:pPr>
        <w:spacing w:line="360" w:lineRule="auto"/>
        <w:ind w:firstLine="420" w:firstLineChars="200"/>
        <w:rPr>
          <w:rFonts w:cs="仿宋"/>
        </w:rPr>
      </w:pPr>
      <w:r>
        <w:rPr>
          <w:rFonts w:cs="仿宋"/>
        </w:rPr>
        <w:t>4</w:t>
      </w:r>
      <w:r>
        <w:rPr>
          <w:rFonts w:hint="eastAsia" w:cs="仿宋"/>
        </w:rPr>
        <w:t>、资格审查资料</w:t>
      </w:r>
    </w:p>
    <w:p w14:paraId="037F118D">
      <w:pPr>
        <w:spacing w:line="360" w:lineRule="auto"/>
        <w:ind w:firstLine="420" w:firstLineChars="200"/>
        <w:rPr>
          <w:rFonts w:cs="仿宋"/>
        </w:rPr>
      </w:pPr>
      <w:r>
        <w:rPr>
          <w:rFonts w:cs="仿宋"/>
        </w:rPr>
        <w:t>5</w:t>
      </w:r>
      <w:r>
        <w:rPr>
          <w:rFonts w:hint="eastAsia" w:cs="仿宋"/>
        </w:rPr>
        <w:t>、报价表</w:t>
      </w:r>
    </w:p>
    <w:p w14:paraId="39632EC7">
      <w:pPr>
        <w:spacing w:line="360" w:lineRule="auto"/>
        <w:ind w:firstLine="420" w:firstLineChars="200"/>
        <w:rPr>
          <w:rFonts w:cs="仿宋"/>
        </w:rPr>
      </w:pPr>
      <w:r>
        <w:rPr>
          <w:rFonts w:cs="仿宋"/>
        </w:rPr>
        <w:t>6</w:t>
      </w:r>
      <w:r>
        <w:rPr>
          <w:rFonts w:hint="eastAsia" w:cs="仿宋"/>
        </w:rPr>
        <w:t>、服务保障方案</w:t>
      </w:r>
    </w:p>
    <w:p w14:paraId="7A92199B">
      <w:pPr>
        <w:spacing w:line="360" w:lineRule="auto"/>
        <w:ind w:firstLine="420" w:firstLineChars="200"/>
        <w:rPr>
          <w:rFonts w:cs="仿宋"/>
        </w:rPr>
      </w:pPr>
      <w:r>
        <w:rPr>
          <w:rFonts w:hint="eastAsia" w:cs="仿宋"/>
        </w:rPr>
        <w:t>7、商务或技术偏差表</w:t>
      </w:r>
    </w:p>
    <w:p w14:paraId="696603A7">
      <w:pPr>
        <w:spacing w:line="360" w:lineRule="auto"/>
        <w:ind w:firstLine="420" w:firstLineChars="200"/>
        <w:rPr>
          <w:rFonts w:cs="仿宋"/>
        </w:rPr>
      </w:pPr>
      <w:r>
        <w:rPr>
          <w:rFonts w:hint="eastAsia" w:cs="仿宋"/>
        </w:rPr>
        <w:t>8、供应商认为应补充的其它资料</w:t>
      </w:r>
    </w:p>
    <w:p w14:paraId="6C96FB6E">
      <w:pPr>
        <w:jc w:val="center"/>
        <w:rPr>
          <w:sz w:val="28"/>
          <w:szCs w:val="28"/>
        </w:rPr>
      </w:pPr>
      <w:r>
        <w:rPr>
          <w:rFonts w:hint="eastAsia"/>
          <w:sz w:val="28"/>
          <w:szCs w:val="28"/>
        </w:rPr>
        <w:t>第一部分：商务部分</w:t>
      </w:r>
    </w:p>
    <w:p w14:paraId="65F5EA67">
      <w:pPr>
        <w:spacing w:line="300" w:lineRule="auto"/>
        <w:jc w:val="center"/>
        <w:rPr>
          <w:rFonts w:ascii="Times New Roman" w:hAnsi="Times New Roman"/>
          <w:b/>
        </w:rPr>
      </w:pPr>
    </w:p>
    <w:p w14:paraId="1651DDAA">
      <w:pPr>
        <w:pStyle w:val="5"/>
        <w:spacing w:before="0" w:after="0" w:line="300" w:lineRule="auto"/>
        <w:jc w:val="left"/>
        <w:rPr>
          <w:b w:val="0"/>
          <w:bCs w:val="0"/>
          <w:sz w:val="24"/>
          <w:szCs w:val="24"/>
        </w:rPr>
      </w:pPr>
      <w:r>
        <w:rPr>
          <w:rFonts w:hint="eastAsia"/>
          <w:b w:val="0"/>
          <w:bCs w:val="0"/>
          <w:sz w:val="24"/>
          <w:szCs w:val="24"/>
        </w:rPr>
        <w:t>1、报价函</w:t>
      </w:r>
    </w:p>
    <w:p w14:paraId="69391A37">
      <w:pPr>
        <w:spacing w:line="300" w:lineRule="auto"/>
        <w:rPr>
          <w:rFonts w:ascii="Times New Roman" w:hAnsi="Times New Roman"/>
          <w:szCs w:val="21"/>
        </w:rPr>
      </w:pPr>
      <w:r>
        <w:rPr>
          <w:rFonts w:ascii="Times New Roman" w:hAnsi="Times New Roman"/>
          <w:szCs w:val="21"/>
          <w:u w:val="single"/>
        </w:rPr>
        <w:t xml:space="preserve">                        </w:t>
      </w:r>
      <w:r>
        <w:rPr>
          <w:rFonts w:hint="eastAsia" w:ascii="Times New Roman" w:hAnsi="Times New Roman"/>
          <w:szCs w:val="21"/>
        </w:rPr>
        <w:t>（采购人名称）：</w:t>
      </w:r>
    </w:p>
    <w:p w14:paraId="0C5D1C2D">
      <w:pPr>
        <w:spacing w:line="30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．我方已仔细研究了</w:t>
      </w:r>
      <w:r>
        <w:rPr>
          <w:rFonts w:ascii="Times New Roman" w:hAnsi="Times New Roman"/>
          <w:szCs w:val="21"/>
          <w:u w:val="single"/>
        </w:rPr>
        <w:t xml:space="preserve">          </w:t>
      </w:r>
      <w:r>
        <w:rPr>
          <w:rFonts w:hint="eastAsia" w:ascii="Times New Roman" w:hAnsi="Times New Roman"/>
          <w:szCs w:val="21"/>
        </w:rPr>
        <w:t>（项目名称）谈判文件的全部内容，愿意以人民币（大写）</w:t>
      </w:r>
      <w:r>
        <w:rPr>
          <w:rFonts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w:t>
      </w:r>
      <w:r>
        <w:rPr>
          <w:rFonts w:ascii="Times New Roman" w:hAnsi="Times New Roman"/>
          <w:szCs w:val="21"/>
          <w:u w:val="single"/>
        </w:rPr>
        <w:t xml:space="preserve">           </w:t>
      </w:r>
      <w:r>
        <w:rPr>
          <w:rFonts w:hint="eastAsia" w:ascii="Times New Roman" w:hAnsi="Times New Roman"/>
          <w:szCs w:val="21"/>
        </w:rPr>
        <w:t>）的总报价，按合同约定</w:t>
      </w:r>
      <w:r>
        <w:rPr>
          <w:rFonts w:hint="eastAsia"/>
        </w:rPr>
        <w:t>履行所有义务</w:t>
      </w:r>
      <w:r>
        <w:rPr>
          <w:rFonts w:hint="eastAsia" w:ascii="Times New Roman" w:hAnsi="Times New Roman"/>
          <w:szCs w:val="21"/>
        </w:rPr>
        <w:t>。</w:t>
      </w:r>
    </w:p>
    <w:p w14:paraId="3A45D51E">
      <w:pPr>
        <w:spacing w:line="30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．我方承诺在谈判文件规定的谈判有效期内不修改、撤销响应文件。</w:t>
      </w:r>
    </w:p>
    <w:p w14:paraId="365E8D33">
      <w:pPr>
        <w:spacing w:line="30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．随同本报价函提交谈判保证金一份，金额为人民币（大写）</w:t>
      </w:r>
      <w:r>
        <w:rPr>
          <w:rFonts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w:t>
      </w:r>
      <w:r>
        <w:rPr>
          <w:rFonts w:ascii="Times New Roman" w:hAnsi="Times New Roman"/>
          <w:szCs w:val="21"/>
          <w:u w:val="single"/>
        </w:rPr>
        <w:t xml:space="preserve">       </w:t>
      </w:r>
      <w:r>
        <w:rPr>
          <w:rFonts w:hint="eastAsia" w:ascii="Times New Roman" w:hAnsi="Times New Roman"/>
          <w:szCs w:val="21"/>
        </w:rPr>
        <w:t>）。</w:t>
      </w:r>
    </w:p>
    <w:p w14:paraId="03E59A00">
      <w:pPr>
        <w:spacing w:line="30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．如我方成交：</w:t>
      </w:r>
    </w:p>
    <w:p w14:paraId="017AD1BF">
      <w:pPr>
        <w:spacing w:line="300" w:lineRule="auto"/>
        <w:ind w:firstLine="718" w:firstLineChars="342"/>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）我方承诺在收到成交通知书后，在成交通知书规定的期限内与你方签订合同。</w:t>
      </w:r>
    </w:p>
    <w:p w14:paraId="2AAF7E4F">
      <w:pPr>
        <w:spacing w:line="300" w:lineRule="auto"/>
        <w:ind w:firstLine="718" w:firstLineChars="342"/>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）随同本报价函递交的报价函附录属于合同文件的组成部分。</w:t>
      </w:r>
    </w:p>
    <w:p w14:paraId="6F97B5F5">
      <w:pPr>
        <w:spacing w:line="300" w:lineRule="auto"/>
        <w:ind w:firstLine="718" w:firstLineChars="342"/>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）我方承诺按照谈判文件规定向你方递交履约担保。</w:t>
      </w:r>
    </w:p>
    <w:p w14:paraId="02334A8A">
      <w:pPr>
        <w:spacing w:line="300" w:lineRule="auto"/>
        <w:ind w:firstLine="718" w:firstLineChars="342"/>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）我方承诺在合同约定的期限交付货物。</w:t>
      </w:r>
    </w:p>
    <w:p w14:paraId="31F48459">
      <w:pPr>
        <w:spacing w:line="300" w:lineRule="auto"/>
        <w:ind w:firstLine="420" w:firstLineChars="200"/>
        <w:rPr>
          <w:rFonts w:ascii="Times New Roman" w:hAnsi="Times New Roman"/>
        </w:rPr>
      </w:pPr>
      <w:r>
        <w:rPr>
          <w:rFonts w:ascii="Times New Roman" w:hAnsi="Times New Roman"/>
          <w:szCs w:val="21"/>
        </w:rPr>
        <w:t>5</w:t>
      </w:r>
      <w:r>
        <w:rPr>
          <w:rFonts w:hint="eastAsia" w:ascii="Times New Roman" w:hAnsi="Times New Roman"/>
          <w:szCs w:val="21"/>
        </w:rPr>
        <w:t>．</w:t>
      </w:r>
      <w:r>
        <w:rPr>
          <w:rFonts w:hint="eastAsia" w:ascii="Times New Roman" w:hAnsi="Times New Roman"/>
        </w:rPr>
        <w:t>我方在此声明，所递交的响应文件及有关资料内容完整、真实和准确。</w:t>
      </w:r>
    </w:p>
    <w:p w14:paraId="4F068396">
      <w:pPr>
        <w:spacing w:line="300" w:lineRule="auto"/>
        <w:ind w:firstLine="420" w:firstLineChars="200"/>
        <w:rPr>
          <w:rFonts w:ascii="Times New Roman" w:hAnsi="Times New Roman"/>
          <w:szCs w:val="21"/>
        </w:rPr>
      </w:pPr>
      <w:r>
        <w:rPr>
          <w:rFonts w:ascii="Times New Roman" w:hAnsi="Times New Roman"/>
        </w:rPr>
        <w:t>6.</w:t>
      </w:r>
      <w:r>
        <w:rPr>
          <w:rFonts w:ascii="Times New Roman" w:hAnsi="Times New Roman" w:eastAsia="仿宋_GB2312"/>
          <w:sz w:val="28"/>
        </w:rPr>
        <w:t xml:space="preserve"> </w:t>
      </w:r>
      <w:r>
        <w:rPr>
          <w:rFonts w:hint="eastAsia" w:ascii="Times New Roman" w:hAnsi="Times New Roman"/>
        </w:rPr>
        <w:t>我方承诺参加谈判活动近三年内无违法犯罪及其它不良行为记录，如有经行政主管部门查实或通报的不良记录，我方放弃参加本次项目谈判的权利，并无条件承担相应后果和损失。</w:t>
      </w:r>
    </w:p>
    <w:p w14:paraId="088BB877">
      <w:pPr>
        <w:spacing w:line="300" w:lineRule="auto"/>
        <w:ind w:firstLine="420" w:firstLineChars="200"/>
        <w:rPr>
          <w:rFonts w:ascii="Times New Roman" w:hAnsi="Times New Roman"/>
          <w:szCs w:val="21"/>
        </w:rPr>
      </w:pPr>
      <w:r>
        <w:rPr>
          <w:rFonts w:ascii="Times New Roman" w:hAnsi="Times New Roman"/>
          <w:szCs w:val="21"/>
        </w:rPr>
        <w:t>7</w:t>
      </w:r>
      <w:r>
        <w:rPr>
          <w:rFonts w:hint="eastAsia" w:ascii="Times New Roman" w:hAnsi="Times New Roman"/>
          <w:szCs w:val="21"/>
        </w:rPr>
        <w:t>．</w:t>
      </w:r>
      <w:r>
        <w:rPr>
          <w:rFonts w:ascii="Times New Roman" w:hAnsi="Times New Roman"/>
          <w:szCs w:val="21"/>
          <w:u w:val="single"/>
        </w:rPr>
        <w:t xml:space="preserve">                                       </w:t>
      </w:r>
      <w:r>
        <w:rPr>
          <w:rFonts w:hint="eastAsia" w:ascii="Times New Roman" w:hAnsi="Times New Roman"/>
          <w:szCs w:val="21"/>
        </w:rPr>
        <w:t>（其他补充说明）。</w:t>
      </w:r>
    </w:p>
    <w:p w14:paraId="50687332">
      <w:pPr>
        <w:spacing w:line="300" w:lineRule="auto"/>
        <w:rPr>
          <w:rFonts w:ascii="Times New Roman" w:hAnsi="Times New Roman"/>
          <w:szCs w:val="21"/>
        </w:rPr>
      </w:pPr>
      <w:r>
        <w:rPr>
          <w:rFonts w:hint="eastAsia" w:ascii="Times New Roman" w:hAnsi="Times New Roman"/>
          <w:szCs w:val="21"/>
        </w:rPr>
        <w:t>供应商：</w:t>
      </w:r>
      <w:r>
        <w:rPr>
          <w:rFonts w:ascii="Times New Roman" w:hAnsi="Times New Roman"/>
          <w:szCs w:val="21"/>
          <w:u w:val="single"/>
        </w:rPr>
        <w:t xml:space="preserve">                      </w:t>
      </w:r>
      <w:r>
        <w:rPr>
          <w:rFonts w:hint="eastAsia" w:ascii="Times New Roman" w:hAnsi="Times New Roman"/>
          <w:szCs w:val="21"/>
        </w:rPr>
        <w:t>（盖单位章）</w:t>
      </w:r>
    </w:p>
    <w:p w14:paraId="6F0A7952">
      <w:pPr>
        <w:spacing w:line="300" w:lineRule="auto"/>
        <w:rPr>
          <w:rFonts w:ascii="Times New Roman" w:hAnsi="Times New Roman"/>
          <w:szCs w:val="21"/>
        </w:rPr>
      </w:pPr>
      <w:r>
        <w:rPr>
          <w:rFonts w:hint="eastAsia" w:ascii="Times New Roman" w:hAnsi="Times New Roman"/>
          <w:szCs w:val="21"/>
        </w:rPr>
        <w:t>法定代表人：</w:t>
      </w:r>
      <w:r>
        <w:rPr>
          <w:rFonts w:ascii="Times New Roman" w:hAnsi="Times New Roman"/>
          <w:szCs w:val="21"/>
          <w:u w:val="single"/>
        </w:rPr>
        <w:t xml:space="preserve">                    </w:t>
      </w:r>
      <w:r>
        <w:rPr>
          <w:rFonts w:hint="eastAsia" w:ascii="Times New Roman" w:hAnsi="Times New Roman"/>
          <w:szCs w:val="21"/>
        </w:rPr>
        <w:t>（签字并盖章）</w:t>
      </w:r>
    </w:p>
    <w:p w14:paraId="4BB8D1DC">
      <w:pPr>
        <w:spacing w:line="300" w:lineRule="auto"/>
        <w:rPr>
          <w:rFonts w:ascii="Times New Roman" w:hAnsi="Times New Roman"/>
          <w:szCs w:val="21"/>
        </w:rPr>
      </w:pPr>
      <w:r>
        <w:rPr>
          <w:rFonts w:hint="eastAsia" w:ascii="Times New Roman" w:hAnsi="Times New Roman"/>
          <w:szCs w:val="21"/>
        </w:rPr>
        <w:t>委托代理人：</w:t>
      </w:r>
      <w:r>
        <w:rPr>
          <w:rFonts w:ascii="Times New Roman" w:hAnsi="Times New Roman"/>
          <w:szCs w:val="21"/>
          <w:u w:val="single"/>
        </w:rPr>
        <w:t xml:space="preserve">                    </w:t>
      </w:r>
      <w:r>
        <w:rPr>
          <w:rFonts w:hint="eastAsia" w:ascii="Times New Roman" w:hAnsi="Times New Roman"/>
          <w:szCs w:val="21"/>
        </w:rPr>
        <w:t>（签字）</w:t>
      </w:r>
    </w:p>
    <w:p w14:paraId="71D39F1A">
      <w:pPr>
        <w:spacing w:line="300" w:lineRule="auto"/>
        <w:rPr>
          <w:rFonts w:ascii="Times New Roman" w:hAnsi="Times New Roman"/>
          <w:szCs w:val="21"/>
        </w:rPr>
      </w:pPr>
      <w:r>
        <w:rPr>
          <w:rFonts w:hint="eastAsia" w:ascii="Times New Roman" w:hAnsi="Times New Roman"/>
          <w:szCs w:val="21"/>
        </w:rPr>
        <w:t>地址：</w:t>
      </w:r>
      <w:r>
        <w:rPr>
          <w:rFonts w:ascii="Times New Roman" w:hAnsi="Times New Roman"/>
          <w:szCs w:val="21"/>
          <w:u w:val="single"/>
        </w:rPr>
        <w:t xml:space="preserve">                                     </w:t>
      </w:r>
    </w:p>
    <w:p w14:paraId="0EAD5975">
      <w:pPr>
        <w:spacing w:line="300" w:lineRule="auto"/>
        <w:rPr>
          <w:rFonts w:ascii="Times New Roman" w:hAnsi="Times New Roman"/>
          <w:szCs w:val="21"/>
        </w:rPr>
      </w:pPr>
      <w:r>
        <w:rPr>
          <w:rFonts w:hint="eastAsia" w:ascii="Times New Roman" w:hAnsi="Times New Roman"/>
          <w:szCs w:val="21"/>
        </w:rPr>
        <w:t>网址：</w:t>
      </w:r>
      <w:r>
        <w:rPr>
          <w:rFonts w:ascii="Times New Roman" w:hAnsi="Times New Roman"/>
          <w:szCs w:val="21"/>
          <w:u w:val="single"/>
        </w:rPr>
        <w:t xml:space="preserve">                                     </w:t>
      </w:r>
    </w:p>
    <w:p w14:paraId="351E3E91">
      <w:pPr>
        <w:spacing w:line="300" w:lineRule="auto"/>
        <w:rPr>
          <w:rFonts w:ascii="Times New Roman" w:hAnsi="Times New Roman"/>
          <w:szCs w:val="21"/>
        </w:rPr>
      </w:pPr>
      <w:r>
        <w:rPr>
          <w:rFonts w:hint="eastAsia" w:ascii="Times New Roman" w:hAnsi="Times New Roman"/>
          <w:szCs w:val="21"/>
        </w:rPr>
        <w:t>电话：</w:t>
      </w:r>
      <w:r>
        <w:rPr>
          <w:rFonts w:ascii="Times New Roman" w:hAnsi="Times New Roman"/>
          <w:szCs w:val="21"/>
          <w:u w:val="single"/>
        </w:rPr>
        <w:t xml:space="preserve">                                     </w:t>
      </w:r>
    </w:p>
    <w:p w14:paraId="23012FF1">
      <w:pPr>
        <w:spacing w:line="300" w:lineRule="auto"/>
        <w:rPr>
          <w:rFonts w:ascii="Times New Roman" w:hAnsi="Times New Roman"/>
          <w:szCs w:val="21"/>
        </w:rPr>
      </w:pPr>
      <w:r>
        <w:rPr>
          <w:rFonts w:hint="eastAsia" w:ascii="Times New Roman" w:hAnsi="Times New Roman"/>
          <w:szCs w:val="21"/>
        </w:rPr>
        <w:t>传真：</w:t>
      </w:r>
      <w:r>
        <w:rPr>
          <w:rFonts w:ascii="Times New Roman" w:hAnsi="Times New Roman"/>
          <w:szCs w:val="21"/>
          <w:u w:val="single"/>
        </w:rPr>
        <w:t xml:space="preserve">                                     </w:t>
      </w:r>
    </w:p>
    <w:p w14:paraId="0A2B3B7A">
      <w:pPr>
        <w:spacing w:line="300" w:lineRule="auto"/>
        <w:rPr>
          <w:rFonts w:ascii="Times New Roman" w:hAnsi="Times New Roman"/>
          <w:szCs w:val="21"/>
        </w:rPr>
      </w:pPr>
      <w:r>
        <w:rPr>
          <w:rFonts w:hint="eastAsia" w:ascii="Times New Roman" w:hAnsi="Times New Roman"/>
          <w:szCs w:val="21"/>
        </w:rPr>
        <w:t>邮政编码：</w:t>
      </w:r>
      <w:r>
        <w:rPr>
          <w:rFonts w:ascii="Times New Roman" w:hAnsi="Times New Roman"/>
          <w:szCs w:val="21"/>
          <w:u w:val="single"/>
        </w:rPr>
        <w:t xml:space="preserve">                                 </w:t>
      </w:r>
    </w:p>
    <w:p w14:paraId="4DF1F0C6">
      <w:pPr>
        <w:spacing w:line="300" w:lineRule="auto"/>
        <w:ind w:firstLine="105" w:firstLineChars="50"/>
        <w:jc w:val="right"/>
        <w:rPr>
          <w:rFonts w:ascii="Times New Roman" w:hAnsi="Times New Roman"/>
          <w:szCs w:val="21"/>
          <w:u w:val="single"/>
        </w:rPr>
      </w:pPr>
    </w:p>
    <w:p w14:paraId="68285F76">
      <w:pPr>
        <w:spacing w:line="300" w:lineRule="auto"/>
        <w:ind w:firstLine="105" w:firstLineChars="50"/>
        <w:jc w:val="right"/>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p>
    <w:p w14:paraId="0E58B9CE">
      <w:pPr>
        <w:keepNext/>
        <w:keepLines/>
        <w:spacing w:beforeLines="100" w:after="120" w:line="520" w:lineRule="exact"/>
        <w:ind w:right="601"/>
        <w:outlineLvl w:val="1"/>
        <w:rPr>
          <w:rFonts w:cs="仿宋"/>
        </w:rPr>
      </w:pPr>
      <w:r>
        <w:rPr>
          <w:rFonts w:hint="eastAsia" w:cs="仿宋"/>
        </w:rPr>
        <w:t>2、</w:t>
      </w:r>
      <w:r>
        <w:rPr>
          <w:rFonts w:hint="eastAsia" w:cs="仿宋"/>
          <w:lang w:val="zh-TW" w:eastAsia="zh-TW"/>
        </w:rPr>
        <w:t>法定代表人身份证明</w:t>
      </w:r>
    </w:p>
    <w:p w14:paraId="72AF841D">
      <w:pPr>
        <w:pStyle w:val="4"/>
        <w:spacing w:before="0" w:after="0" w:line="300" w:lineRule="auto"/>
        <w:jc w:val="center"/>
        <w:rPr>
          <w:rFonts w:ascii="仿宋" w:hAnsi="仿宋" w:eastAsia="仿宋" w:cs="MingLiU"/>
          <w:sz w:val="30"/>
          <w:szCs w:val="30"/>
          <w:shd w:val="clear" w:color="auto" w:fill="FFFFFF"/>
          <w:lang w:val="zh-TW" w:eastAsia="zh-TW" w:bidi="zh-TW"/>
        </w:rPr>
      </w:pPr>
      <w:r>
        <w:rPr>
          <w:rFonts w:hint="eastAsia" w:ascii="Times New Roman" w:hAnsi="Times New Roman"/>
          <w:b w:val="0"/>
          <w:bCs w:val="0"/>
          <w:lang w:val="zh-TW" w:eastAsia="zh-TW"/>
        </w:rPr>
        <w:t>法定代表人身份证明</w:t>
      </w:r>
      <w:r>
        <w:rPr>
          <w:rFonts w:hint="eastAsia" w:ascii="仿宋" w:hAnsi="仿宋" w:eastAsia="仿宋" w:cs="MingLiU"/>
          <w:sz w:val="30"/>
          <w:szCs w:val="30"/>
          <w:shd w:val="clear" w:color="auto" w:fill="FFFFFF"/>
          <w:lang w:val="zh-TW" w:eastAsia="zh-TW" w:bidi="zh-TW"/>
        </w:rPr>
        <w:t>(适用于法定代表人</w:t>
      </w:r>
      <w:r>
        <w:rPr>
          <w:rFonts w:hint="eastAsia" w:ascii="仿宋" w:hAnsi="仿宋" w:eastAsia="仿宋" w:cs="MingLiU"/>
          <w:sz w:val="30"/>
          <w:szCs w:val="30"/>
          <w:shd w:val="clear" w:color="auto" w:fill="FFFFFF"/>
          <w:lang w:bidi="zh-TW"/>
        </w:rPr>
        <w:t>谈判</w:t>
      </w:r>
      <w:r>
        <w:rPr>
          <w:rFonts w:hint="eastAsia" w:ascii="仿宋" w:hAnsi="仿宋" w:eastAsia="仿宋" w:cs="MingLiU"/>
          <w:sz w:val="30"/>
          <w:szCs w:val="30"/>
          <w:shd w:val="clear" w:color="auto" w:fill="FFFFFF"/>
          <w:lang w:val="zh-TW" w:eastAsia="zh-TW" w:bidi="zh-TW"/>
        </w:rPr>
        <w:t>时)</w:t>
      </w:r>
    </w:p>
    <w:p w14:paraId="26413F93">
      <w:pPr>
        <w:tabs>
          <w:tab w:val="left" w:leader="underscore" w:pos="3773"/>
        </w:tabs>
        <w:spacing w:beforeLines="100" w:line="520" w:lineRule="exact"/>
        <w:rPr>
          <w:rFonts w:ascii="仿宋" w:hAnsi="仿宋" w:eastAsia="仿宋"/>
          <w:sz w:val="28"/>
          <w:szCs w:val="28"/>
        </w:rPr>
      </w:pPr>
      <w:r>
        <w:rPr>
          <w:rFonts w:hint="eastAsia"/>
        </w:rPr>
        <w:t>供应商名称：</w:t>
      </w:r>
      <w:r>
        <w:rPr>
          <w:rFonts w:ascii="仿宋" w:hAnsi="仿宋" w:eastAsia="仿宋"/>
          <w:sz w:val="28"/>
          <w:szCs w:val="28"/>
        </w:rPr>
        <w:tab/>
      </w:r>
    </w:p>
    <w:p w14:paraId="3325BA74">
      <w:pPr>
        <w:tabs>
          <w:tab w:val="left" w:leader="underscore" w:pos="2304"/>
          <w:tab w:val="left" w:leader="underscore" w:pos="3773"/>
          <w:tab w:val="left" w:leader="underscore" w:pos="5262"/>
          <w:tab w:val="left" w:leader="underscore" w:pos="6715"/>
        </w:tabs>
        <w:spacing w:line="520" w:lineRule="exact"/>
        <w:rPr>
          <w:rFonts w:ascii="仿宋" w:hAnsi="仿宋" w:eastAsia="仿宋"/>
          <w:sz w:val="28"/>
          <w:szCs w:val="28"/>
        </w:rPr>
      </w:pPr>
      <w:r>
        <w:rPr>
          <w:rFonts w:hint="eastAsia"/>
        </w:rPr>
        <w:t>姓名</w:t>
      </w:r>
      <w:r>
        <w:rPr>
          <w:rFonts w:ascii="仿宋" w:hAnsi="仿宋" w:eastAsia="仿宋"/>
          <w:sz w:val="28"/>
          <w:szCs w:val="28"/>
        </w:rPr>
        <w:t>：</w:t>
      </w:r>
      <w:r>
        <w:rPr>
          <w:rFonts w:ascii="仿宋" w:hAnsi="仿宋" w:eastAsia="仿宋"/>
          <w:sz w:val="28"/>
          <w:szCs w:val="28"/>
        </w:rPr>
        <w:tab/>
      </w:r>
      <w:r>
        <w:rPr>
          <w:rFonts w:hint="eastAsia"/>
        </w:rPr>
        <w:t>性别：</w:t>
      </w:r>
      <w:r>
        <w:rPr>
          <w:rFonts w:ascii="仿宋" w:hAnsi="仿宋" w:eastAsia="仿宋"/>
          <w:sz w:val="28"/>
          <w:szCs w:val="28"/>
        </w:rPr>
        <w:tab/>
      </w:r>
      <w:r>
        <w:rPr>
          <w:rFonts w:hint="eastAsia"/>
        </w:rPr>
        <w:t>年龄</w:t>
      </w:r>
      <w:r>
        <w:rPr>
          <w:rFonts w:ascii="仿宋" w:hAnsi="仿宋" w:eastAsia="仿宋"/>
          <w:sz w:val="28"/>
          <w:szCs w:val="28"/>
        </w:rPr>
        <w:t>：</w:t>
      </w:r>
      <w:r>
        <w:rPr>
          <w:rFonts w:ascii="仿宋" w:hAnsi="仿宋" w:eastAsia="仿宋"/>
          <w:sz w:val="28"/>
          <w:szCs w:val="28"/>
        </w:rPr>
        <w:tab/>
      </w:r>
      <w:r>
        <w:rPr>
          <w:rFonts w:hint="eastAsia"/>
        </w:rPr>
        <w:t>职务：</w:t>
      </w:r>
      <w:r>
        <w:rPr>
          <w:rFonts w:ascii="仿宋" w:hAnsi="仿宋" w:eastAsia="仿宋"/>
          <w:sz w:val="28"/>
          <w:szCs w:val="28"/>
        </w:rPr>
        <w:tab/>
      </w:r>
    </w:p>
    <w:p w14:paraId="54C73AD0">
      <w:pPr>
        <w:tabs>
          <w:tab w:val="left" w:leader="underscore" w:pos="2731"/>
        </w:tabs>
        <w:spacing w:line="520" w:lineRule="exact"/>
        <w:rPr>
          <w:rFonts w:ascii="仿宋" w:hAnsi="仿宋" w:eastAsia="仿宋"/>
          <w:sz w:val="28"/>
          <w:szCs w:val="28"/>
        </w:rPr>
      </w:pPr>
      <w:r>
        <w:rPr>
          <w:rFonts w:hint="eastAsia"/>
        </w:rPr>
        <w:t>系</w:t>
      </w:r>
      <w:r>
        <w:rPr>
          <w:rFonts w:ascii="仿宋" w:hAnsi="仿宋" w:eastAsia="仿宋"/>
          <w:sz w:val="28"/>
          <w:szCs w:val="28"/>
        </w:rPr>
        <w:tab/>
      </w:r>
      <w:r>
        <w:rPr>
          <w:rFonts w:ascii="仿宋" w:hAnsi="仿宋" w:eastAsia="仿宋"/>
          <w:sz w:val="28"/>
          <w:szCs w:val="28"/>
        </w:rPr>
        <w:t>(</w:t>
      </w:r>
      <w:r>
        <w:rPr>
          <w:rFonts w:hint="eastAsia"/>
        </w:rPr>
        <w:t>供应商名称）的法定代表人（单位负责人)</w:t>
      </w:r>
    </w:p>
    <w:p w14:paraId="6EAD47D2">
      <w:pPr>
        <w:tabs>
          <w:tab w:val="left" w:leader="underscore" w:pos="2731"/>
        </w:tabs>
        <w:spacing w:line="520" w:lineRule="exact"/>
      </w:pPr>
      <w:r>
        <w:rPr>
          <w:rFonts w:hint="eastAsia"/>
        </w:rPr>
        <w:t>特此证明。</w:t>
      </w:r>
    </w:p>
    <w:p w14:paraId="68EECBBA">
      <w:pPr>
        <w:tabs>
          <w:tab w:val="left" w:leader="underscore" w:pos="2731"/>
        </w:tabs>
        <w:spacing w:line="520" w:lineRule="exact"/>
      </w:pPr>
      <w:r>
        <w:rPr>
          <w:rFonts w:hint="eastAsia"/>
        </w:rPr>
        <w:t>附：法定代表人（单位负责人）身份证复印件。</w:t>
      </w:r>
    </w:p>
    <w:p w14:paraId="004F0BB6">
      <w:pPr>
        <w:tabs>
          <w:tab w:val="left" w:leader="underscore" w:pos="2731"/>
        </w:tabs>
        <w:spacing w:line="520" w:lineRule="exact"/>
      </w:pPr>
      <w:r>
        <w:rPr>
          <w:rFonts w:hint="eastAsia"/>
        </w:rPr>
        <w:t>注：本身份证明需由供应商加盖单位公章。</w:t>
      </w:r>
    </w:p>
    <w:p w14:paraId="6C53C842">
      <w:pPr>
        <w:spacing w:after="1057" w:line="520" w:lineRule="exact"/>
        <w:rPr>
          <w:rFonts w:ascii="仿宋" w:hAnsi="仿宋" w:eastAsia="仿宋"/>
          <w:sz w:val="28"/>
          <w:szCs w:val="28"/>
        </w:rPr>
      </w:pPr>
    </w:p>
    <w:p w14:paraId="43B49E00">
      <w:pPr>
        <w:tabs>
          <w:tab w:val="left" w:leader="underscore" w:pos="6434"/>
        </w:tabs>
        <w:spacing w:after="642" w:line="520" w:lineRule="exact"/>
        <w:ind w:left="4140"/>
      </w:pPr>
      <w:r>
        <w:rPr>
          <w:rFonts w:hint="eastAsia"/>
          <w:spacing w:val="-10"/>
          <w:lang w:bidi="zh-TW"/>
        </w:rPr>
        <w:t>供应商</w:t>
      </w:r>
      <w:r>
        <w:rPr>
          <w:rFonts w:hint="eastAsia"/>
          <w:spacing w:val="-10"/>
          <w:lang w:val="zh-TW" w:eastAsia="zh-TW" w:bidi="zh-TW"/>
        </w:rPr>
        <w:t>：</w:t>
      </w:r>
      <w:r>
        <w:rPr>
          <w:rFonts w:hint="eastAsia"/>
        </w:rPr>
        <w:tab/>
      </w:r>
      <w:r>
        <w:rPr>
          <w:rFonts w:hint="eastAsia"/>
        </w:rPr>
        <w:t>(单位公章)</w:t>
      </w:r>
    </w:p>
    <w:p w14:paraId="387CF23C">
      <w:pPr>
        <w:tabs>
          <w:tab w:val="left" w:leader="underscore" w:pos="5262"/>
          <w:tab w:val="left" w:leader="underscore" w:pos="5980"/>
          <w:tab w:val="left" w:leader="underscore" w:pos="6958"/>
        </w:tabs>
        <w:spacing w:line="520" w:lineRule="exact"/>
        <w:ind w:left="4640"/>
      </w:pPr>
      <w:r>
        <w:rPr>
          <w:rFonts w:hint="eastAsia"/>
        </w:rPr>
        <w:t>年月日</w:t>
      </w:r>
    </w:p>
    <w:p w14:paraId="4331CF1C">
      <w:pPr>
        <w:spacing w:line="360" w:lineRule="auto"/>
        <w:ind w:firstLine="400" w:firstLineChars="200"/>
        <w:rPr>
          <w:rFonts w:ascii="Times New Roman" w:hAnsi="Times New Roman" w:eastAsia="黑体"/>
          <w:sz w:val="20"/>
        </w:rPr>
      </w:pPr>
    </w:p>
    <w:p w14:paraId="0E528E1C">
      <w:pPr>
        <w:pStyle w:val="15"/>
        <w:ind w:firstLine="400"/>
        <w:rPr>
          <w:rFonts w:eastAsia="黑体"/>
          <w:sz w:val="20"/>
        </w:rPr>
      </w:pPr>
    </w:p>
    <w:p w14:paraId="4C577ECC">
      <w:pPr>
        <w:pStyle w:val="15"/>
        <w:ind w:firstLine="400"/>
        <w:rPr>
          <w:rFonts w:eastAsia="黑体"/>
          <w:sz w:val="20"/>
        </w:rPr>
      </w:pPr>
    </w:p>
    <w:p w14:paraId="176E333C">
      <w:pPr>
        <w:pStyle w:val="15"/>
        <w:ind w:firstLine="400"/>
        <w:rPr>
          <w:rFonts w:eastAsia="黑体"/>
          <w:sz w:val="20"/>
        </w:rPr>
      </w:pPr>
    </w:p>
    <w:p w14:paraId="5148BEE7">
      <w:pPr>
        <w:pStyle w:val="15"/>
        <w:ind w:firstLine="400"/>
        <w:rPr>
          <w:rFonts w:eastAsia="黑体"/>
          <w:sz w:val="20"/>
        </w:rPr>
      </w:pPr>
    </w:p>
    <w:p w14:paraId="10C974AC">
      <w:pPr>
        <w:pStyle w:val="15"/>
        <w:ind w:firstLine="400"/>
        <w:rPr>
          <w:rFonts w:eastAsia="黑体"/>
          <w:sz w:val="20"/>
        </w:rPr>
      </w:pPr>
    </w:p>
    <w:p w14:paraId="48C9351A">
      <w:pPr>
        <w:pStyle w:val="15"/>
        <w:ind w:firstLine="400"/>
        <w:rPr>
          <w:rFonts w:eastAsia="黑体"/>
          <w:sz w:val="20"/>
        </w:rPr>
      </w:pPr>
    </w:p>
    <w:p w14:paraId="732192E2">
      <w:pPr>
        <w:spacing w:line="360" w:lineRule="auto"/>
        <w:rPr>
          <w:rFonts w:cs="仿宋"/>
        </w:rPr>
      </w:pPr>
      <w:r>
        <w:rPr>
          <w:rFonts w:hint="eastAsia" w:cs="仿宋"/>
        </w:rPr>
        <w:br w:type="page"/>
      </w:r>
      <w:r>
        <w:rPr>
          <w:rFonts w:hint="eastAsia" w:cs="仿宋"/>
        </w:rPr>
        <w:t>3、授权委托书</w:t>
      </w:r>
    </w:p>
    <w:p w14:paraId="7F7BB32C">
      <w:pPr>
        <w:pStyle w:val="4"/>
        <w:spacing w:before="0" w:after="0" w:line="300" w:lineRule="auto"/>
        <w:jc w:val="center"/>
        <w:rPr>
          <w:rFonts w:ascii="Times New Roman" w:hAnsi="Times New Roman"/>
          <w:b w:val="0"/>
          <w:bCs w:val="0"/>
        </w:rPr>
      </w:pPr>
      <w:r>
        <w:rPr>
          <w:rFonts w:hint="eastAsia" w:ascii="Times New Roman" w:hAnsi="Times New Roman"/>
          <w:b w:val="0"/>
          <w:bCs w:val="0"/>
        </w:rPr>
        <w:t>授权委托书</w:t>
      </w:r>
      <w:r>
        <w:rPr>
          <w:rFonts w:hint="eastAsia" w:ascii="仿宋" w:hAnsi="仿宋" w:eastAsia="仿宋" w:cs="MingLiU"/>
          <w:sz w:val="30"/>
          <w:szCs w:val="30"/>
          <w:shd w:val="clear" w:color="auto" w:fill="FFFFFF"/>
          <w:lang w:val="zh-TW" w:eastAsia="zh-TW" w:bidi="zh-TW"/>
        </w:rPr>
        <w:t>(适用于委托代理人</w:t>
      </w:r>
      <w:r>
        <w:rPr>
          <w:rFonts w:hint="eastAsia" w:ascii="仿宋" w:hAnsi="仿宋" w:eastAsia="仿宋" w:cs="MingLiU"/>
          <w:sz w:val="30"/>
          <w:szCs w:val="30"/>
          <w:shd w:val="clear" w:color="auto" w:fill="FFFFFF"/>
          <w:lang w:bidi="zh-TW"/>
        </w:rPr>
        <w:t>谈判</w:t>
      </w:r>
      <w:r>
        <w:rPr>
          <w:rFonts w:hint="eastAsia" w:ascii="仿宋" w:hAnsi="仿宋" w:eastAsia="仿宋" w:cs="MingLiU"/>
          <w:sz w:val="30"/>
          <w:szCs w:val="30"/>
          <w:shd w:val="clear" w:color="auto" w:fill="FFFFFF"/>
          <w:lang w:val="zh-TW" w:eastAsia="zh-TW" w:bidi="zh-TW"/>
        </w:rPr>
        <w:t>时)</w:t>
      </w:r>
    </w:p>
    <w:p w14:paraId="3F2B1DD0">
      <w:pPr>
        <w:spacing w:line="300" w:lineRule="auto"/>
        <w:rPr>
          <w:rFonts w:ascii="Times New Roman" w:hAnsi="Times New Roman" w:eastAsia="黑体"/>
          <w:szCs w:val="21"/>
        </w:rPr>
      </w:pPr>
    </w:p>
    <w:p w14:paraId="7F0A9067">
      <w:pPr>
        <w:topLinePunct/>
        <w:spacing w:line="300" w:lineRule="auto"/>
        <w:ind w:firstLine="420" w:firstLineChars="200"/>
        <w:rPr>
          <w:rFonts w:ascii="Times New Roman" w:hAnsi="Times New Roman"/>
          <w:szCs w:val="21"/>
        </w:rPr>
      </w:pPr>
      <w:r>
        <w:rPr>
          <w:rFonts w:hint="eastAsia" w:ascii="Times New Roman" w:hAnsi="Times New Roman"/>
          <w:szCs w:val="21"/>
        </w:rPr>
        <w:t>本人</w:t>
      </w:r>
      <w:r>
        <w:rPr>
          <w:rFonts w:ascii="Times New Roman" w:hAnsi="Times New Roman"/>
          <w:szCs w:val="21"/>
          <w:u w:val="single"/>
        </w:rPr>
        <w:t xml:space="preserve">       </w:t>
      </w:r>
      <w:r>
        <w:rPr>
          <w:rFonts w:hint="eastAsia" w:ascii="Times New Roman" w:hAnsi="Times New Roman"/>
          <w:szCs w:val="21"/>
        </w:rPr>
        <w:t>（姓名）系</w:t>
      </w:r>
      <w:r>
        <w:rPr>
          <w:rFonts w:ascii="Times New Roman" w:hAnsi="Times New Roman"/>
          <w:szCs w:val="21"/>
          <w:u w:val="single"/>
        </w:rPr>
        <w:t xml:space="preserve">        </w:t>
      </w:r>
      <w:r>
        <w:rPr>
          <w:rFonts w:hint="eastAsia" w:ascii="Times New Roman" w:hAnsi="Times New Roman"/>
          <w:szCs w:val="21"/>
        </w:rPr>
        <w:t>（名称）的法定代表人，现委托</w:t>
      </w:r>
      <w:r>
        <w:rPr>
          <w:rFonts w:ascii="Times New Roman" w:hAnsi="Times New Roman"/>
          <w:szCs w:val="21"/>
          <w:u w:val="single"/>
        </w:rPr>
        <w:t xml:space="preserve">        </w:t>
      </w:r>
      <w:r>
        <w:rPr>
          <w:rFonts w:hint="eastAsia" w:ascii="Times New Roman" w:hAnsi="Times New Roman"/>
          <w:szCs w:val="21"/>
        </w:rPr>
        <w:t>（姓名）为我方代理人。代理人根据授权，以我方名义签署、澄清、说明、补正、递交、撤回、修改</w:t>
      </w:r>
      <w:r>
        <w:rPr>
          <w:rFonts w:ascii="Times New Roman" w:hAnsi="Times New Roman"/>
          <w:szCs w:val="21"/>
          <w:u w:val="single"/>
        </w:rPr>
        <w:t xml:space="preserve">           </w:t>
      </w:r>
      <w:r>
        <w:rPr>
          <w:rFonts w:hint="eastAsia" w:ascii="Times New Roman" w:hAnsi="Times New Roman"/>
          <w:szCs w:val="21"/>
        </w:rPr>
        <w:t>（项目名称）响应文件、签订合同和处理有关事宜，其法律后果由我方承担。</w:t>
      </w:r>
    </w:p>
    <w:p w14:paraId="528D1380">
      <w:pPr>
        <w:spacing w:line="300"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委托期限：</w:t>
      </w:r>
      <w:r>
        <w:rPr>
          <w:rFonts w:ascii="Times New Roman" w:hAnsi="Times New Roman"/>
          <w:szCs w:val="21"/>
          <w:u w:val="single"/>
        </w:rPr>
        <w:t xml:space="preserve">             </w:t>
      </w:r>
      <w:r>
        <w:rPr>
          <w:rFonts w:hint="eastAsia" w:ascii="Times New Roman" w:hAnsi="Times New Roman"/>
          <w:szCs w:val="21"/>
        </w:rPr>
        <w:t>。</w:t>
      </w:r>
    </w:p>
    <w:p w14:paraId="132F414D">
      <w:pPr>
        <w:spacing w:line="300" w:lineRule="auto"/>
        <w:ind w:firstLine="420" w:firstLineChars="200"/>
        <w:rPr>
          <w:rFonts w:ascii="Times New Roman" w:hAnsi="Times New Roman"/>
          <w:szCs w:val="21"/>
        </w:rPr>
      </w:pPr>
      <w:r>
        <w:rPr>
          <w:rFonts w:hint="eastAsia" w:ascii="Times New Roman" w:hAnsi="Times New Roman"/>
          <w:szCs w:val="21"/>
        </w:rPr>
        <w:t>代理人无转委托权。</w:t>
      </w:r>
    </w:p>
    <w:p w14:paraId="43C59C46">
      <w:pPr>
        <w:topLinePunct/>
        <w:spacing w:line="360" w:lineRule="auto"/>
        <w:ind w:firstLine="420" w:firstLineChars="200"/>
        <w:rPr>
          <w:rFonts w:cs="仿宋"/>
        </w:rPr>
      </w:pPr>
      <w:r>
        <w:rPr>
          <w:rFonts w:hint="eastAsia" w:cs="仿宋"/>
        </w:rPr>
        <w:t>附：（1）法定代表人身份证复印件。</w:t>
      </w:r>
    </w:p>
    <w:p w14:paraId="6657C2A7">
      <w:pPr>
        <w:topLinePunct/>
        <w:spacing w:line="360" w:lineRule="auto"/>
        <w:ind w:firstLine="840" w:firstLineChars="400"/>
        <w:rPr>
          <w:rFonts w:cs="仿宋"/>
        </w:rPr>
      </w:pPr>
      <w:r>
        <w:rPr>
          <w:rFonts w:hint="eastAsia" w:cs="仿宋"/>
        </w:rPr>
        <w:t>（2）委托代理人身份证复印件。</w:t>
      </w:r>
    </w:p>
    <w:p w14:paraId="535676DE">
      <w:pPr>
        <w:topLinePunct/>
        <w:spacing w:line="360" w:lineRule="auto"/>
        <w:ind w:firstLine="840" w:firstLineChars="400"/>
        <w:rPr>
          <w:rFonts w:cs="仿宋"/>
        </w:rPr>
      </w:pPr>
      <w:r>
        <w:rPr>
          <w:rFonts w:hint="eastAsia" w:cs="仿宋"/>
        </w:rPr>
        <w:t>（3）委托代理人社保证明。</w:t>
      </w:r>
    </w:p>
    <w:p w14:paraId="0CF4D293">
      <w:pPr>
        <w:spacing w:line="300" w:lineRule="auto"/>
        <w:rPr>
          <w:rFonts w:ascii="Times New Roman" w:hAnsi="Times New Roman"/>
          <w:szCs w:val="21"/>
        </w:rPr>
      </w:pPr>
    </w:p>
    <w:p w14:paraId="4C94C98E">
      <w:pPr>
        <w:spacing w:line="300" w:lineRule="auto"/>
        <w:rPr>
          <w:rFonts w:ascii="Times New Roman" w:hAnsi="Times New Roman"/>
          <w:szCs w:val="21"/>
        </w:rPr>
      </w:pPr>
    </w:p>
    <w:p w14:paraId="04C8CE96">
      <w:pPr>
        <w:spacing w:line="300" w:lineRule="auto"/>
        <w:rPr>
          <w:rFonts w:ascii="Times New Roman" w:hAnsi="Times New Roman"/>
          <w:szCs w:val="21"/>
        </w:rPr>
      </w:pPr>
      <w:r>
        <w:rPr>
          <w:rFonts w:hint="eastAsia" w:ascii="Times New Roman" w:hAnsi="Times New Roman"/>
          <w:szCs w:val="21"/>
          <w:lang w:val="en-US" w:eastAsia="zh-CN"/>
        </w:rPr>
        <w:t>供应商</w:t>
      </w:r>
      <w:r>
        <w:rPr>
          <w:rFonts w:hint="eastAsia" w:ascii="Times New Roman" w:hAnsi="Times New Roman"/>
          <w:szCs w:val="21"/>
        </w:rPr>
        <w:t>：</w:t>
      </w:r>
      <w:r>
        <w:rPr>
          <w:rFonts w:ascii="Times New Roman" w:hAnsi="Times New Roman"/>
          <w:szCs w:val="21"/>
          <w:u w:val="single"/>
        </w:rPr>
        <w:t xml:space="preserve">                               </w:t>
      </w:r>
      <w:r>
        <w:rPr>
          <w:rFonts w:hint="eastAsia" w:ascii="Times New Roman" w:hAnsi="Times New Roman"/>
          <w:szCs w:val="21"/>
        </w:rPr>
        <w:t>（盖单位章）</w:t>
      </w:r>
    </w:p>
    <w:p w14:paraId="154A5E1D">
      <w:pPr>
        <w:spacing w:line="300" w:lineRule="auto"/>
        <w:rPr>
          <w:rFonts w:ascii="Times New Roman" w:hAnsi="Times New Roman"/>
          <w:szCs w:val="21"/>
        </w:rPr>
      </w:pPr>
    </w:p>
    <w:p w14:paraId="7361A7EA">
      <w:pPr>
        <w:spacing w:line="300" w:lineRule="auto"/>
        <w:rPr>
          <w:rFonts w:ascii="Times New Roman" w:hAnsi="Times New Roman"/>
          <w:szCs w:val="21"/>
        </w:rPr>
      </w:pPr>
      <w:r>
        <w:rPr>
          <w:rFonts w:hint="eastAsia" w:ascii="Times New Roman" w:hAnsi="Times New Roman"/>
          <w:szCs w:val="21"/>
        </w:rPr>
        <w:t>法定代表人：</w:t>
      </w:r>
      <w:r>
        <w:rPr>
          <w:rFonts w:ascii="Times New Roman" w:hAnsi="Times New Roman"/>
          <w:szCs w:val="21"/>
          <w:u w:val="single"/>
        </w:rPr>
        <w:t xml:space="preserve">                               </w:t>
      </w:r>
      <w:r>
        <w:rPr>
          <w:rFonts w:hint="eastAsia" w:ascii="Times New Roman" w:hAnsi="Times New Roman"/>
          <w:szCs w:val="21"/>
        </w:rPr>
        <w:t>（签字并盖章）</w:t>
      </w:r>
    </w:p>
    <w:p w14:paraId="7E4FAEC4">
      <w:pPr>
        <w:spacing w:line="300" w:lineRule="auto"/>
        <w:rPr>
          <w:rFonts w:ascii="Times New Roman" w:hAnsi="Times New Roman"/>
          <w:szCs w:val="21"/>
        </w:rPr>
      </w:pPr>
    </w:p>
    <w:p w14:paraId="3F6F6F23">
      <w:pPr>
        <w:spacing w:line="300" w:lineRule="auto"/>
        <w:rPr>
          <w:rFonts w:ascii="Times New Roman" w:hAnsi="Times New Roman"/>
          <w:szCs w:val="21"/>
        </w:rPr>
      </w:pPr>
      <w:r>
        <w:rPr>
          <w:rFonts w:hint="eastAsia" w:ascii="Times New Roman" w:hAnsi="Times New Roman"/>
          <w:szCs w:val="21"/>
        </w:rPr>
        <w:t>身份证号码：</w:t>
      </w:r>
      <w:r>
        <w:rPr>
          <w:rFonts w:ascii="Times New Roman" w:hAnsi="Times New Roman"/>
          <w:szCs w:val="21"/>
          <w:u w:val="single"/>
        </w:rPr>
        <w:t xml:space="preserve">                                     </w:t>
      </w:r>
    </w:p>
    <w:p w14:paraId="142C6E91">
      <w:pPr>
        <w:spacing w:line="300" w:lineRule="auto"/>
        <w:rPr>
          <w:rFonts w:ascii="Times New Roman" w:hAnsi="Times New Roman"/>
          <w:szCs w:val="21"/>
        </w:rPr>
      </w:pPr>
    </w:p>
    <w:p w14:paraId="51C738EB">
      <w:pPr>
        <w:spacing w:line="300" w:lineRule="auto"/>
        <w:rPr>
          <w:rFonts w:ascii="Times New Roman" w:hAnsi="Times New Roman"/>
          <w:szCs w:val="21"/>
        </w:rPr>
      </w:pPr>
      <w:r>
        <w:rPr>
          <w:rFonts w:hint="eastAsia" w:ascii="Times New Roman" w:hAnsi="Times New Roman"/>
          <w:szCs w:val="21"/>
        </w:rPr>
        <w:t>委托代理人：</w:t>
      </w:r>
      <w:r>
        <w:rPr>
          <w:rFonts w:ascii="Times New Roman" w:hAnsi="Times New Roman"/>
          <w:szCs w:val="21"/>
          <w:u w:val="single"/>
        </w:rPr>
        <w:t xml:space="preserve">                                   </w:t>
      </w:r>
      <w:r>
        <w:rPr>
          <w:rFonts w:hint="eastAsia" w:ascii="Times New Roman" w:hAnsi="Times New Roman"/>
          <w:szCs w:val="21"/>
        </w:rPr>
        <w:t>（签字）</w:t>
      </w:r>
      <w:r>
        <w:rPr>
          <w:rFonts w:ascii="Times New Roman" w:hAnsi="Times New Roman"/>
          <w:szCs w:val="21"/>
        </w:rPr>
        <w:t xml:space="preserve"> </w:t>
      </w:r>
    </w:p>
    <w:p w14:paraId="6CBCF59C">
      <w:pPr>
        <w:spacing w:line="300" w:lineRule="auto"/>
        <w:rPr>
          <w:rFonts w:ascii="Times New Roman" w:hAnsi="Times New Roman"/>
          <w:szCs w:val="21"/>
        </w:rPr>
      </w:pPr>
    </w:p>
    <w:p w14:paraId="35E7DB62">
      <w:pPr>
        <w:spacing w:line="300" w:lineRule="auto"/>
        <w:rPr>
          <w:rFonts w:ascii="Times New Roman" w:hAnsi="Times New Roman"/>
          <w:szCs w:val="21"/>
        </w:rPr>
      </w:pPr>
      <w:r>
        <w:rPr>
          <w:rFonts w:hint="eastAsia" w:ascii="Times New Roman" w:hAnsi="Times New Roman"/>
          <w:szCs w:val="21"/>
        </w:rPr>
        <w:t>身份证号码：</w:t>
      </w:r>
      <w:r>
        <w:rPr>
          <w:rFonts w:ascii="Times New Roman" w:hAnsi="Times New Roman"/>
          <w:szCs w:val="21"/>
          <w:u w:val="single"/>
        </w:rPr>
        <w:t xml:space="preserve">                                      </w:t>
      </w:r>
    </w:p>
    <w:p w14:paraId="7F3B5CAE">
      <w:pPr>
        <w:spacing w:line="300" w:lineRule="auto"/>
        <w:rPr>
          <w:rFonts w:ascii="Times New Roman" w:hAnsi="Times New Roman"/>
          <w:szCs w:val="21"/>
        </w:rPr>
      </w:pPr>
    </w:p>
    <w:p w14:paraId="37DB8C96">
      <w:pPr>
        <w:spacing w:line="300" w:lineRule="auto"/>
        <w:rPr>
          <w:rFonts w:ascii="Times New Roman" w:hAnsi="Times New Roman"/>
          <w:szCs w:val="21"/>
        </w:rPr>
      </w:pPr>
    </w:p>
    <w:p w14:paraId="6004BE61">
      <w:pPr>
        <w:spacing w:line="300" w:lineRule="auto"/>
        <w:ind w:firstLine="2310" w:firstLineChars="1100"/>
        <w:rPr>
          <w:rFonts w:ascii="Times New Roman" w:hAnsi="Times New Roman" w:eastAsia="黑体"/>
          <w:szCs w:val="21"/>
        </w:rPr>
      </w:pP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p>
    <w:p w14:paraId="593E8ECC">
      <w:pPr>
        <w:spacing w:line="300" w:lineRule="auto"/>
        <w:ind w:left="422" w:hanging="422" w:hangingChars="200"/>
        <w:rPr>
          <w:rFonts w:ascii="Times New Roman" w:hAnsi="Times New Roman" w:eastAsia="楷体_GB2312"/>
          <w:b/>
          <w:lang w:val="zh-CN"/>
        </w:rPr>
      </w:pPr>
    </w:p>
    <w:p w14:paraId="3B3F8D57">
      <w:pPr>
        <w:spacing w:line="300" w:lineRule="auto"/>
        <w:rPr>
          <w:rFonts w:ascii="Times New Roman" w:hAnsi="Times New Roman" w:eastAsia="黑体"/>
          <w:sz w:val="20"/>
        </w:rPr>
      </w:pPr>
    </w:p>
    <w:p w14:paraId="50EB2068">
      <w:pPr>
        <w:spacing w:line="300" w:lineRule="auto"/>
        <w:jc w:val="center"/>
        <w:rPr>
          <w:rFonts w:ascii="Times New Roman" w:hAnsi="Times New Roman" w:eastAsia="黑体"/>
          <w:sz w:val="32"/>
          <w:szCs w:val="32"/>
        </w:rPr>
      </w:pPr>
    </w:p>
    <w:p w14:paraId="14256932">
      <w:pPr>
        <w:spacing w:line="300" w:lineRule="auto"/>
        <w:jc w:val="center"/>
        <w:rPr>
          <w:rFonts w:ascii="Times New Roman" w:hAnsi="Times New Roman" w:eastAsia="黑体"/>
          <w:sz w:val="32"/>
          <w:szCs w:val="32"/>
        </w:rPr>
      </w:pPr>
    </w:p>
    <w:p w14:paraId="669B4182">
      <w:pPr>
        <w:spacing w:line="300" w:lineRule="auto"/>
        <w:jc w:val="center"/>
        <w:rPr>
          <w:rFonts w:ascii="Times New Roman" w:hAnsi="Times New Roman" w:eastAsia="黑体"/>
          <w:sz w:val="32"/>
          <w:szCs w:val="32"/>
        </w:rPr>
      </w:pPr>
    </w:p>
    <w:p w14:paraId="5DB5F64B">
      <w:pPr>
        <w:pStyle w:val="35"/>
        <w:rPr>
          <w:rFonts w:ascii="宋体" w:hAnsi="宋体" w:eastAsia="宋体" w:cs="宋体"/>
          <w:szCs w:val="24"/>
        </w:rPr>
      </w:pPr>
    </w:p>
    <w:p w14:paraId="14759462">
      <w:pPr>
        <w:spacing w:line="440" w:lineRule="exact"/>
        <w:ind w:firstLine="3943" w:firstLineChars="1878"/>
      </w:pPr>
    </w:p>
    <w:p w14:paraId="7335A6C6">
      <w:pPr>
        <w:pStyle w:val="35"/>
        <w:rPr>
          <w:rFonts w:ascii="宋体" w:hAnsi="宋体" w:eastAsia="宋体" w:cs="宋体"/>
          <w:szCs w:val="24"/>
        </w:rPr>
      </w:pPr>
      <w:bookmarkStart w:id="153" w:name="_Toc508871757"/>
      <w:bookmarkStart w:id="154" w:name="_Toc391556617"/>
      <w:bookmarkStart w:id="155" w:name="_Toc352160852"/>
      <w:bookmarkStart w:id="156" w:name="_Toc506105877"/>
      <w:r>
        <w:rPr>
          <w:rFonts w:hint="eastAsia" w:ascii="宋体" w:hAnsi="宋体" w:eastAsia="宋体" w:cs="宋体"/>
          <w:szCs w:val="24"/>
        </w:rPr>
        <w:br w:type="page"/>
      </w:r>
      <w:r>
        <w:rPr>
          <w:rFonts w:hint="eastAsia" w:ascii="宋体" w:hAnsi="宋体" w:eastAsia="宋体" w:cs="宋体"/>
          <w:szCs w:val="24"/>
        </w:rPr>
        <w:t>4、资格审查资料</w:t>
      </w:r>
      <w:bookmarkEnd w:id="153"/>
      <w:bookmarkEnd w:id="154"/>
      <w:bookmarkEnd w:id="155"/>
      <w:bookmarkEnd w:id="156"/>
    </w:p>
    <w:p w14:paraId="356A163C">
      <w:pPr>
        <w:spacing w:line="360" w:lineRule="auto"/>
        <w:rPr>
          <w:rFonts w:cs="仿宋"/>
          <w:bCs/>
        </w:rPr>
      </w:pPr>
      <w:bookmarkStart w:id="157" w:name="_Toc337496474"/>
      <w:r>
        <w:rPr>
          <w:rFonts w:hint="eastAsia" w:cs="仿宋"/>
          <w:bCs/>
        </w:rPr>
        <w:t>4.1</w:t>
      </w:r>
      <w:bookmarkEnd w:id="157"/>
      <w:r>
        <w:rPr>
          <w:rFonts w:hint="eastAsia" w:cs="仿宋"/>
          <w:bCs/>
        </w:rPr>
        <w:t>供应商基本情况及证书复印件</w:t>
      </w:r>
    </w:p>
    <w:p w14:paraId="04C25AAD">
      <w:pPr>
        <w:spacing w:line="360" w:lineRule="auto"/>
        <w:jc w:val="center"/>
        <w:rPr>
          <w:rFonts w:cs="仿宋"/>
        </w:rPr>
      </w:pPr>
      <w:r>
        <w:rPr>
          <w:rFonts w:hint="eastAsia" w:cs="仿宋"/>
          <w:b/>
        </w:rPr>
        <w:t>基本情况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1097"/>
        <w:gridCol w:w="732"/>
        <w:gridCol w:w="923"/>
        <w:gridCol w:w="1147"/>
        <w:gridCol w:w="198"/>
        <w:gridCol w:w="652"/>
        <w:gridCol w:w="1490"/>
      </w:tblGrid>
      <w:tr w14:paraId="2F05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0BD0EEA5">
            <w:pPr>
              <w:topLinePunct/>
              <w:spacing w:line="360" w:lineRule="auto"/>
              <w:jc w:val="center"/>
              <w:rPr>
                <w:rFonts w:cs="仿宋"/>
              </w:rPr>
            </w:pPr>
            <w:r>
              <w:rPr>
                <w:rFonts w:hint="eastAsia" w:cs="仿宋"/>
              </w:rPr>
              <w:t>供应商名称</w:t>
            </w:r>
          </w:p>
        </w:tc>
        <w:tc>
          <w:tcPr>
            <w:tcW w:w="7656" w:type="dxa"/>
            <w:gridSpan w:val="8"/>
            <w:tcBorders>
              <w:top w:val="single" w:color="000000" w:sz="4" w:space="0"/>
              <w:left w:val="single" w:color="000000" w:sz="4" w:space="0"/>
              <w:bottom w:val="single" w:color="000000" w:sz="4" w:space="0"/>
              <w:right w:val="single" w:color="000000" w:sz="4" w:space="0"/>
            </w:tcBorders>
            <w:vAlign w:val="center"/>
          </w:tcPr>
          <w:p w14:paraId="3074A9CE">
            <w:pPr>
              <w:topLinePunct/>
              <w:spacing w:line="360" w:lineRule="auto"/>
              <w:jc w:val="center"/>
              <w:rPr>
                <w:rFonts w:cs="仿宋"/>
              </w:rPr>
            </w:pPr>
          </w:p>
        </w:tc>
      </w:tr>
      <w:tr w14:paraId="2F76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34E1A682">
            <w:pPr>
              <w:topLinePunct/>
              <w:spacing w:line="360" w:lineRule="auto"/>
              <w:jc w:val="center"/>
              <w:rPr>
                <w:rFonts w:cs="仿宋"/>
              </w:rPr>
            </w:pPr>
            <w:r>
              <w:rPr>
                <w:rFonts w:hint="eastAsia" w:cs="仿宋"/>
              </w:rPr>
              <w:t>注册地址</w:t>
            </w:r>
          </w:p>
        </w:tc>
        <w:tc>
          <w:tcPr>
            <w:tcW w:w="4169" w:type="dxa"/>
            <w:gridSpan w:val="4"/>
            <w:tcBorders>
              <w:top w:val="single" w:color="000000" w:sz="4" w:space="0"/>
              <w:left w:val="single" w:color="000000" w:sz="4" w:space="0"/>
              <w:bottom w:val="single" w:color="000000" w:sz="4" w:space="0"/>
              <w:right w:val="single" w:color="000000" w:sz="4" w:space="0"/>
            </w:tcBorders>
            <w:vAlign w:val="center"/>
          </w:tcPr>
          <w:p w14:paraId="692FF8D0">
            <w:pPr>
              <w:topLinePunct/>
              <w:spacing w:line="360" w:lineRule="auto"/>
              <w:jc w:val="center"/>
              <w:rPr>
                <w:rFonts w:cs="仿宋"/>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7725172B">
            <w:pPr>
              <w:topLinePunct/>
              <w:spacing w:line="360" w:lineRule="auto"/>
              <w:ind w:left="-105" w:leftChars="-50" w:right="-105" w:rightChars="-50"/>
              <w:jc w:val="center"/>
              <w:rPr>
                <w:rFonts w:cs="仿宋"/>
              </w:rPr>
            </w:pPr>
            <w:r>
              <w:rPr>
                <w:rFonts w:hint="eastAsia" w:cs="仿宋"/>
              </w:rPr>
              <w:t>邮政编码</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14:paraId="5BFA2D59">
            <w:pPr>
              <w:topLinePunct/>
              <w:spacing w:line="360" w:lineRule="auto"/>
              <w:jc w:val="center"/>
              <w:rPr>
                <w:rFonts w:cs="仿宋"/>
              </w:rPr>
            </w:pPr>
          </w:p>
        </w:tc>
      </w:tr>
      <w:tr w14:paraId="7001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5509A1E0">
            <w:pPr>
              <w:topLinePunct/>
              <w:adjustRightInd w:val="0"/>
              <w:snapToGrid w:val="0"/>
              <w:spacing w:line="360" w:lineRule="auto"/>
              <w:jc w:val="center"/>
              <w:rPr>
                <w:rFonts w:cs="仿宋"/>
              </w:rPr>
            </w:pPr>
            <w:r>
              <w:rPr>
                <w:rFonts w:hint="eastAsia" w:cs="仿宋"/>
              </w:rPr>
              <w:t>成立或</w:t>
            </w:r>
          </w:p>
          <w:p w14:paraId="1EB3B653">
            <w:pPr>
              <w:topLinePunct/>
              <w:adjustRightInd w:val="0"/>
              <w:snapToGrid w:val="0"/>
              <w:spacing w:line="360" w:lineRule="auto"/>
              <w:jc w:val="center"/>
              <w:rPr>
                <w:rFonts w:cs="仿宋"/>
              </w:rPr>
            </w:pPr>
            <w:r>
              <w:rPr>
                <w:rFonts w:hint="eastAsia" w:cs="仿宋"/>
              </w:rPr>
              <w:t>注册时间</w:t>
            </w:r>
          </w:p>
        </w:tc>
        <w:tc>
          <w:tcPr>
            <w:tcW w:w="4169" w:type="dxa"/>
            <w:gridSpan w:val="4"/>
            <w:tcBorders>
              <w:top w:val="single" w:color="000000" w:sz="4" w:space="0"/>
              <w:left w:val="single" w:color="000000" w:sz="4" w:space="0"/>
              <w:bottom w:val="single" w:color="000000" w:sz="4" w:space="0"/>
              <w:right w:val="single" w:color="000000" w:sz="4" w:space="0"/>
            </w:tcBorders>
            <w:vAlign w:val="center"/>
          </w:tcPr>
          <w:p w14:paraId="56C5E691">
            <w:pPr>
              <w:topLinePunct/>
              <w:spacing w:line="360" w:lineRule="auto"/>
              <w:jc w:val="center"/>
              <w:rPr>
                <w:rFonts w:cs="仿宋"/>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35037720">
            <w:pPr>
              <w:topLinePunct/>
              <w:spacing w:line="360" w:lineRule="auto"/>
              <w:ind w:left="-105" w:leftChars="-50" w:right="-105" w:rightChars="-50"/>
              <w:jc w:val="center"/>
              <w:rPr>
                <w:rFonts w:cs="仿宋"/>
              </w:rPr>
            </w:pPr>
            <w:r>
              <w:rPr>
                <w:rFonts w:hint="eastAsia" w:cs="仿宋"/>
              </w:rPr>
              <w:t>注册资金</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14:paraId="0C56E79E">
            <w:pPr>
              <w:topLinePunct/>
              <w:spacing w:line="360" w:lineRule="auto"/>
              <w:jc w:val="center"/>
              <w:rPr>
                <w:rFonts w:cs="仿宋"/>
              </w:rPr>
            </w:pPr>
          </w:p>
        </w:tc>
      </w:tr>
      <w:tr w14:paraId="0501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0ED4E094">
            <w:pPr>
              <w:topLinePunct/>
              <w:spacing w:line="360" w:lineRule="auto"/>
              <w:jc w:val="center"/>
              <w:rPr>
                <w:rFonts w:cs="仿宋"/>
              </w:rPr>
            </w:pPr>
            <w:r>
              <w:rPr>
                <w:rFonts w:hint="eastAsia" w:cs="仿宋"/>
              </w:rPr>
              <w:t>主要负责人</w:t>
            </w:r>
          </w:p>
        </w:tc>
        <w:tc>
          <w:tcPr>
            <w:tcW w:w="4169" w:type="dxa"/>
            <w:gridSpan w:val="4"/>
            <w:tcBorders>
              <w:top w:val="single" w:color="000000" w:sz="4" w:space="0"/>
              <w:left w:val="single" w:color="000000" w:sz="4" w:space="0"/>
              <w:bottom w:val="single" w:color="000000" w:sz="4" w:space="0"/>
              <w:right w:val="single" w:color="000000" w:sz="4" w:space="0"/>
            </w:tcBorders>
            <w:vAlign w:val="center"/>
          </w:tcPr>
          <w:p w14:paraId="4288DC12">
            <w:pPr>
              <w:topLinePunct/>
              <w:spacing w:line="360" w:lineRule="auto"/>
              <w:jc w:val="center"/>
              <w:rPr>
                <w:rFonts w:cs="仿宋"/>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53ED1059">
            <w:pPr>
              <w:topLinePunct/>
              <w:spacing w:line="360" w:lineRule="auto"/>
              <w:ind w:left="-105" w:leftChars="-50" w:right="-105" w:rightChars="-50"/>
              <w:jc w:val="center"/>
              <w:rPr>
                <w:rFonts w:cs="仿宋"/>
              </w:rPr>
            </w:pPr>
            <w:r>
              <w:rPr>
                <w:rFonts w:hint="eastAsia" w:cs="仿宋"/>
              </w:rPr>
              <w:t>电话</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14:paraId="207FC2DA">
            <w:pPr>
              <w:topLinePunct/>
              <w:spacing w:line="360" w:lineRule="auto"/>
              <w:jc w:val="center"/>
              <w:rPr>
                <w:rFonts w:cs="仿宋"/>
              </w:rPr>
            </w:pPr>
          </w:p>
        </w:tc>
      </w:tr>
      <w:tr w14:paraId="5B85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17FD5476">
            <w:pPr>
              <w:topLinePunct/>
              <w:spacing w:line="360" w:lineRule="auto"/>
              <w:jc w:val="center"/>
              <w:rPr>
                <w:rFonts w:cs="仿宋"/>
              </w:rPr>
            </w:pPr>
            <w:r>
              <w:rPr>
                <w:rFonts w:hint="eastAsia" w:cs="仿宋"/>
              </w:rPr>
              <w:t>联系方式</w:t>
            </w:r>
          </w:p>
        </w:tc>
        <w:tc>
          <w:tcPr>
            <w:tcW w:w="1417" w:type="dxa"/>
            <w:tcBorders>
              <w:top w:val="single" w:color="000000" w:sz="4" w:space="0"/>
              <w:left w:val="single" w:color="000000" w:sz="4" w:space="0"/>
              <w:bottom w:val="single" w:color="000000" w:sz="4" w:space="0"/>
              <w:right w:val="single" w:color="000000" w:sz="4" w:space="0"/>
            </w:tcBorders>
            <w:vAlign w:val="center"/>
          </w:tcPr>
          <w:p w14:paraId="50169DDD">
            <w:pPr>
              <w:topLinePunct/>
              <w:spacing w:line="360" w:lineRule="auto"/>
              <w:jc w:val="center"/>
              <w:rPr>
                <w:rFonts w:cs="仿宋"/>
              </w:rPr>
            </w:pPr>
            <w:r>
              <w:rPr>
                <w:rFonts w:hint="eastAsia" w:cs="仿宋"/>
              </w:rPr>
              <w:t>联系人</w:t>
            </w:r>
          </w:p>
        </w:tc>
        <w:tc>
          <w:tcPr>
            <w:tcW w:w="2752" w:type="dxa"/>
            <w:gridSpan w:val="3"/>
            <w:tcBorders>
              <w:top w:val="single" w:color="000000" w:sz="4" w:space="0"/>
              <w:left w:val="single" w:color="000000" w:sz="4" w:space="0"/>
              <w:bottom w:val="single" w:color="000000" w:sz="4" w:space="0"/>
              <w:right w:val="single" w:color="000000" w:sz="4" w:space="0"/>
            </w:tcBorders>
            <w:vAlign w:val="center"/>
          </w:tcPr>
          <w:p w14:paraId="6B2BB37F">
            <w:pPr>
              <w:topLinePunct/>
              <w:spacing w:line="360" w:lineRule="auto"/>
              <w:jc w:val="center"/>
              <w:rPr>
                <w:rFonts w:cs="仿宋"/>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51B5AE67">
            <w:pPr>
              <w:topLinePunct/>
              <w:spacing w:line="360" w:lineRule="auto"/>
              <w:ind w:left="-105" w:leftChars="-50" w:right="-105" w:rightChars="-50"/>
              <w:jc w:val="center"/>
              <w:rPr>
                <w:rFonts w:cs="仿宋"/>
              </w:rPr>
            </w:pPr>
            <w:r>
              <w:rPr>
                <w:rFonts w:hint="eastAsia" w:cs="仿宋"/>
              </w:rPr>
              <w:t>电话</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14:paraId="7826E78A">
            <w:pPr>
              <w:topLinePunct/>
              <w:spacing w:line="360" w:lineRule="auto"/>
              <w:jc w:val="center"/>
              <w:rPr>
                <w:rFonts w:cs="仿宋"/>
              </w:rPr>
            </w:pPr>
          </w:p>
        </w:tc>
      </w:tr>
      <w:tr w14:paraId="6912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07A17642">
            <w:pPr>
              <w:spacing w:line="360" w:lineRule="auto"/>
              <w:rPr>
                <w:rFonts w:cs="仿宋"/>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AB3B923">
            <w:pPr>
              <w:topLinePunct/>
              <w:spacing w:line="360" w:lineRule="auto"/>
              <w:jc w:val="center"/>
              <w:rPr>
                <w:rFonts w:cs="仿宋"/>
              </w:rPr>
            </w:pPr>
            <w:r>
              <w:rPr>
                <w:rFonts w:hint="eastAsia" w:cs="仿宋"/>
              </w:rPr>
              <w:t>传  真</w:t>
            </w:r>
          </w:p>
        </w:tc>
        <w:tc>
          <w:tcPr>
            <w:tcW w:w="2752" w:type="dxa"/>
            <w:gridSpan w:val="3"/>
            <w:tcBorders>
              <w:top w:val="single" w:color="000000" w:sz="4" w:space="0"/>
              <w:left w:val="single" w:color="000000" w:sz="4" w:space="0"/>
              <w:bottom w:val="single" w:color="000000" w:sz="4" w:space="0"/>
              <w:right w:val="single" w:color="000000" w:sz="4" w:space="0"/>
            </w:tcBorders>
            <w:vAlign w:val="center"/>
          </w:tcPr>
          <w:p w14:paraId="4871DA7C">
            <w:pPr>
              <w:topLinePunct/>
              <w:spacing w:line="360" w:lineRule="auto"/>
              <w:jc w:val="center"/>
              <w:rPr>
                <w:rFonts w:cs="仿宋"/>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1681A4AD">
            <w:pPr>
              <w:topLinePunct/>
              <w:spacing w:line="360" w:lineRule="auto"/>
              <w:ind w:left="-105" w:leftChars="-50" w:right="-105" w:rightChars="-50"/>
              <w:jc w:val="center"/>
              <w:rPr>
                <w:rFonts w:cs="仿宋"/>
              </w:rPr>
            </w:pPr>
            <w:r>
              <w:rPr>
                <w:rFonts w:hint="eastAsia" w:cs="仿宋"/>
              </w:rPr>
              <w:t>电子邮箱</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14:paraId="77469ED3">
            <w:pPr>
              <w:topLinePunct/>
              <w:spacing w:line="360" w:lineRule="auto"/>
              <w:jc w:val="center"/>
              <w:rPr>
                <w:rFonts w:cs="仿宋"/>
              </w:rPr>
            </w:pPr>
          </w:p>
        </w:tc>
      </w:tr>
      <w:tr w14:paraId="4F68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2D8C9F22">
            <w:pPr>
              <w:spacing w:line="360" w:lineRule="auto"/>
              <w:rPr>
                <w:rFonts w:cs="仿宋"/>
              </w:rPr>
            </w:pP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14:paraId="72559470">
            <w:pPr>
              <w:topLinePunct/>
              <w:spacing w:line="360" w:lineRule="auto"/>
              <w:jc w:val="center"/>
              <w:rPr>
                <w:rFonts w:cs="仿宋"/>
              </w:rPr>
            </w:pPr>
            <w:r>
              <w:rPr>
                <w:rFonts w:hint="eastAsia" w:cs="仿宋"/>
              </w:rPr>
              <w:t>近3年</w:t>
            </w:r>
          </w:p>
          <w:p w14:paraId="0C279A5C">
            <w:pPr>
              <w:topLinePunct/>
              <w:spacing w:line="360" w:lineRule="auto"/>
              <w:jc w:val="center"/>
              <w:rPr>
                <w:rFonts w:cs="仿宋"/>
              </w:rPr>
            </w:pPr>
            <w:r>
              <w:rPr>
                <w:rFonts w:hint="eastAsia" w:cs="仿宋"/>
              </w:rPr>
              <w:t>营业额</w:t>
            </w:r>
          </w:p>
        </w:tc>
        <w:tc>
          <w:tcPr>
            <w:tcW w:w="1097" w:type="dxa"/>
            <w:tcBorders>
              <w:top w:val="single" w:color="000000" w:sz="4" w:space="0"/>
              <w:left w:val="single" w:color="000000" w:sz="4" w:space="0"/>
              <w:bottom w:val="single" w:color="000000" w:sz="4" w:space="0"/>
              <w:right w:val="single" w:color="000000" w:sz="4" w:space="0"/>
            </w:tcBorders>
            <w:vAlign w:val="center"/>
          </w:tcPr>
          <w:p w14:paraId="59091596">
            <w:pPr>
              <w:topLinePunct/>
              <w:spacing w:line="360" w:lineRule="auto"/>
              <w:jc w:val="center"/>
              <w:rPr>
                <w:rFonts w:cs="仿宋"/>
              </w:rPr>
            </w:pPr>
            <w:r>
              <w:rPr>
                <w:rFonts w:hint="eastAsia" w:cs="仿宋"/>
              </w:rPr>
              <w:t>年份</w:t>
            </w:r>
          </w:p>
        </w:tc>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2E5669AE">
            <w:pPr>
              <w:topLinePunct/>
              <w:spacing w:line="360" w:lineRule="auto"/>
              <w:jc w:val="center"/>
              <w:rPr>
                <w:rFonts w:cs="仿宋"/>
              </w:rPr>
            </w:pPr>
          </w:p>
        </w:tc>
        <w:tc>
          <w:tcPr>
            <w:tcW w:w="1345" w:type="dxa"/>
            <w:gridSpan w:val="2"/>
            <w:tcBorders>
              <w:top w:val="single" w:color="000000" w:sz="4" w:space="0"/>
              <w:left w:val="single" w:color="000000" w:sz="4" w:space="0"/>
              <w:bottom w:val="single" w:color="000000" w:sz="4" w:space="0"/>
              <w:right w:val="single" w:color="000000" w:sz="4" w:space="0"/>
            </w:tcBorders>
            <w:vAlign w:val="center"/>
          </w:tcPr>
          <w:p w14:paraId="1617BCB3">
            <w:pPr>
              <w:topLinePunct/>
              <w:spacing w:line="360" w:lineRule="auto"/>
              <w:jc w:val="center"/>
              <w:rPr>
                <w:rFonts w:cs="仿宋"/>
              </w:rPr>
            </w:pPr>
            <w:r>
              <w:rPr>
                <w:rFonts w:hint="eastAsia" w:cs="仿宋"/>
              </w:rPr>
              <w:t>金额</w:t>
            </w:r>
          </w:p>
        </w:tc>
        <w:tc>
          <w:tcPr>
            <w:tcW w:w="2142" w:type="dxa"/>
            <w:gridSpan w:val="2"/>
            <w:tcBorders>
              <w:top w:val="single" w:color="000000" w:sz="4" w:space="0"/>
              <w:left w:val="single" w:color="000000" w:sz="4" w:space="0"/>
              <w:bottom w:val="single" w:color="000000" w:sz="4" w:space="0"/>
              <w:right w:val="single" w:color="000000" w:sz="4" w:space="0"/>
            </w:tcBorders>
            <w:vAlign w:val="center"/>
          </w:tcPr>
          <w:p w14:paraId="6A50F932">
            <w:pPr>
              <w:topLinePunct/>
              <w:spacing w:line="360" w:lineRule="auto"/>
              <w:jc w:val="center"/>
              <w:rPr>
                <w:rFonts w:cs="仿宋"/>
              </w:rPr>
            </w:pPr>
          </w:p>
        </w:tc>
      </w:tr>
      <w:tr w14:paraId="6738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4B125CE9">
            <w:pPr>
              <w:spacing w:line="360" w:lineRule="auto"/>
              <w:rPr>
                <w:rFonts w:cs="仿宋"/>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2E3BEBAB">
            <w:pPr>
              <w:spacing w:line="360" w:lineRule="auto"/>
              <w:rPr>
                <w:rFonts w:cs="仿宋"/>
              </w:rPr>
            </w:pPr>
          </w:p>
        </w:tc>
        <w:tc>
          <w:tcPr>
            <w:tcW w:w="1097" w:type="dxa"/>
            <w:tcBorders>
              <w:top w:val="single" w:color="000000" w:sz="4" w:space="0"/>
              <w:left w:val="single" w:color="000000" w:sz="4" w:space="0"/>
              <w:bottom w:val="single" w:color="000000" w:sz="4" w:space="0"/>
              <w:right w:val="single" w:color="000000" w:sz="4" w:space="0"/>
            </w:tcBorders>
            <w:vAlign w:val="center"/>
          </w:tcPr>
          <w:p w14:paraId="075C2727">
            <w:pPr>
              <w:topLinePunct/>
              <w:spacing w:line="360" w:lineRule="auto"/>
              <w:jc w:val="center"/>
              <w:rPr>
                <w:rFonts w:cs="仿宋"/>
              </w:rPr>
            </w:pPr>
            <w:r>
              <w:rPr>
                <w:rFonts w:hint="eastAsia" w:cs="仿宋"/>
              </w:rPr>
              <w:t>年份</w:t>
            </w:r>
          </w:p>
        </w:tc>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3B204A16">
            <w:pPr>
              <w:topLinePunct/>
              <w:spacing w:line="360" w:lineRule="auto"/>
              <w:jc w:val="center"/>
              <w:rPr>
                <w:rFonts w:cs="仿宋"/>
              </w:rPr>
            </w:pPr>
          </w:p>
        </w:tc>
        <w:tc>
          <w:tcPr>
            <w:tcW w:w="1345" w:type="dxa"/>
            <w:gridSpan w:val="2"/>
            <w:tcBorders>
              <w:top w:val="single" w:color="000000" w:sz="4" w:space="0"/>
              <w:left w:val="single" w:color="000000" w:sz="4" w:space="0"/>
              <w:bottom w:val="single" w:color="000000" w:sz="4" w:space="0"/>
              <w:right w:val="single" w:color="000000" w:sz="4" w:space="0"/>
            </w:tcBorders>
            <w:vAlign w:val="center"/>
          </w:tcPr>
          <w:p w14:paraId="5AE4E27E">
            <w:pPr>
              <w:topLinePunct/>
              <w:spacing w:line="360" w:lineRule="auto"/>
              <w:jc w:val="center"/>
              <w:rPr>
                <w:rFonts w:cs="仿宋"/>
              </w:rPr>
            </w:pPr>
            <w:r>
              <w:rPr>
                <w:rFonts w:hint="eastAsia" w:cs="仿宋"/>
              </w:rPr>
              <w:t>金额</w:t>
            </w:r>
          </w:p>
        </w:tc>
        <w:tc>
          <w:tcPr>
            <w:tcW w:w="2142" w:type="dxa"/>
            <w:gridSpan w:val="2"/>
            <w:tcBorders>
              <w:top w:val="single" w:color="000000" w:sz="4" w:space="0"/>
              <w:left w:val="single" w:color="000000" w:sz="4" w:space="0"/>
              <w:bottom w:val="single" w:color="000000" w:sz="4" w:space="0"/>
              <w:right w:val="single" w:color="000000" w:sz="4" w:space="0"/>
            </w:tcBorders>
            <w:vAlign w:val="center"/>
          </w:tcPr>
          <w:p w14:paraId="60160825">
            <w:pPr>
              <w:topLinePunct/>
              <w:spacing w:line="360" w:lineRule="auto"/>
              <w:jc w:val="center"/>
              <w:rPr>
                <w:rFonts w:cs="仿宋"/>
              </w:rPr>
            </w:pPr>
          </w:p>
        </w:tc>
      </w:tr>
      <w:tr w14:paraId="7AEE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681DE539">
            <w:pPr>
              <w:spacing w:line="360" w:lineRule="auto"/>
              <w:rPr>
                <w:rFonts w:cs="仿宋"/>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2D03473D">
            <w:pPr>
              <w:spacing w:line="360" w:lineRule="auto"/>
              <w:rPr>
                <w:rFonts w:cs="仿宋"/>
              </w:rPr>
            </w:pPr>
          </w:p>
        </w:tc>
        <w:tc>
          <w:tcPr>
            <w:tcW w:w="1097" w:type="dxa"/>
            <w:tcBorders>
              <w:top w:val="single" w:color="000000" w:sz="4" w:space="0"/>
              <w:left w:val="single" w:color="000000" w:sz="4" w:space="0"/>
              <w:bottom w:val="single" w:color="000000" w:sz="4" w:space="0"/>
              <w:right w:val="single" w:color="000000" w:sz="4" w:space="0"/>
            </w:tcBorders>
            <w:vAlign w:val="center"/>
          </w:tcPr>
          <w:p w14:paraId="4FD157AD">
            <w:pPr>
              <w:topLinePunct/>
              <w:spacing w:line="360" w:lineRule="auto"/>
              <w:jc w:val="center"/>
              <w:rPr>
                <w:rFonts w:cs="仿宋"/>
              </w:rPr>
            </w:pPr>
            <w:r>
              <w:rPr>
                <w:rFonts w:hint="eastAsia" w:cs="仿宋"/>
              </w:rPr>
              <w:t>年份</w:t>
            </w:r>
          </w:p>
        </w:tc>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518FAB7A">
            <w:pPr>
              <w:topLinePunct/>
              <w:spacing w:line="360" w:lineRule="auto"/>
              <w:jc w:val="center"/>
              <w:rPr>
                <w:rFonts w:cs="仿宋"/>
              </w:rPr>
            </w:pPr>
          </w:p>
        </w:tc>
        <w:tc>
          <w:tcPr>
            <w:tcW w:w="1345" w:type="dxa"/>
            <w:gridSpan w:val="2"/>
            <w:tcBorders>
              <w:top w:val="single" w:color="000000" w:sz="4" w:space="0"/>
              <w:left w:val="single" w:color="000000" w:sz="4" w:space="0"/>
              <w:bottom w:val="single" w:color="000000" w:sz="4" w:space="0"/>
              <w:right w:val="single" w:color="000000" w:sz="4" w:space="0"/>
            </w:tcBorders>
            <w:vAlign w:val="center"/>
          </w:tcPr>
          <w:p w14:paraId="0456EC08">
            <w:pPr>
              <w:topLinePunct/>
              <w:spacing w:line="360" w:lineRule="auto"/>
              <w:jc w:val="center"/>
              <w:rPr>
                <w:rFonts w:cs="仿宋"/>
              </w:rPr>
            </w:pPr>
            <w:r>
              <w:rPr>
                <w:rFonts w:hint="eastAsia" w:cs="仿宋"/>
              </w:rPr>
              <w:t>金额</w:t>
            </w:r>
          </w:p>
        </w:tc>
        <w:tc>
          <w:tcPr>
            <w:tcW w:w="2142" w:type="dxa"/>
            <w:gridSpan w:val="2"/>
            <w:tcBorders>
              <w:top w:val="single" w:color="000000" w:sz="4" w:space="0"/>
              <w:left w:val="single" w:color="000000" w:sz="4" w:space="0"/>
              <w:bottom w:val="single" w:color="000000" w:sz="4" w:space="0"/>
              <w:right w:val="single" w:color="000000" w:sz="4" w:space="0"/>
            </w:tcBorders>
            <w:vAlign w:val="center"/>
          </w:tcPr>
          <w:p w14:paraId="2A711B90">
            <w:pPr>
              <w:topLinePunct/>
              <w:spacing w:line="360" w:lineRule="auto"/>
              <w:jc w:val="center"/>
              <w:rPr>
                <w:rFonts w:cs="仿宋"/>
              </w:rPr>
            </w:pPr>
          </w:p>
        </w:tc>
      </w:tr>
      <w:tr w14:paraId="2884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1EFDC2D4">
            <w:pPr>
              <w:spacing w:line="360" w:lineRule="auto"/>
              <w:rPr>
                <w:rFonts w:cs="仿宋"/>
              </w:rPr>
            </w:pP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14:paraId="695DFA6E">
            <w:pPr>
              <w:topLinePunct/>
              <w:adjustRightInd w:val="0"/>
              <w:snapToGrid w:val="0"/>
              <w:spacing w:line="360" w:lineRule="auto"/>
              <w:ind w:left="-105" w:leftChars="-50" w:right="-105" w:rightChars="-50"/>
              <w:jc w:val="center"/>
              <w:rPr>
                <w:rFonts w:cs="仿宋"/>
              </w:rPr>
            </w:pPr>
            <w:r>
              <w:rPr>
                <w:rFonts w:hint="eastAsia" w:cs="仿宋"/>
              </w:rPr>
              <w:t>近期资产</w:t>
            </w:r>
          </w:p>
          <w:p w14:paraId="5894A220">
            <w:pPr>
              <w:topLinePunct/>
              <w:adjustRightInd w:val="0"/>
              <w:snapToGrid w:val="0"/>
              <w:spacing w:line="360" w:lineRule="auto"/>
              <w:jc w:val="center"/>
              <w:rPr>
                <w:rFonts w:cs="仿宋"/>
              </w:rPr>
            </w:pPr>
            <w:r>
              <w:rPr>
                <w:rFonts w:hint="eastAsia" w:cs="仿宋"/>
              </w:rPr>
              <w:t>负债表</w:t>
            </w:r>
          </w:p>
          <w:p w14:paraId="22BB19F5">
            <w:pPr>
              <w:topLinePunct/>
              <w:adjustRightInd w:val="0"/>
              <w:snapToGrid w:val="0"/>
              <w:spacing w:line="360" w:lineRule="auto"/>
              <w:ind w:right="-128" w:rightChars="-61"/>
              <w:jc w:val="center"/>
              <w:rPr>
                <w:rFonts w:cs="仿宋"/>
              </w:rPr>
            </w:pPr>
            <w:r>
              <w:rPr>
                <w:rFonts w:hint="eastAsia" w:cs="仿宋"/>
              </w:rPr>
              <w:t>到年月日止</w:t>
            </w:r>
          </w:p>
        </w:tc>
        <w:tc>
          <w:tcPr>
            <w:tcW w:w="1097" w:type="dxa"/>
            <w:tcBorders>
              <w:top w:val="single" w:color="000000" w:sz="4" w:space="0"/>
              <w:left w:val="single" w:color="000000" w:sz="4" w:space="0"/>
              <w:bottom w:val="single" w:color="000000" w:sz="4" w:space="0"/>
              <w:right w:val="single" w:color="000000" w:sz="4" w:space="0"/>
            </w:tcBorders>
            <w:vAlign w:val="center"/>
          </w:tcPr>
          <w:p w14:paraId="2CF931FB">
            <w:pPr>
              <w:topLinePunct/>
              <w:spacing w:line="360" w:lineRule="auto"/>
              <w:ind w:left="-105" w:leftChars="-50" w:right="-105" w:rightChars="-50"/>
              <w:jc w:val="center"/>
              <w:rPr>
                <w:rFonts w:cs="仿宋"/>
              </w:rPr>
            </w:pPr>
            <w:r>
              <w:rPr>
                <w:rFonts w:hint="eastAsia" w:cs="仿宋"/>
              </w:rPr>
              <w:t>固定资产</w:t>
            </w:r>
          </w:p>
        </w:tc>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29EAEDBF">
            <w:pPr>
              <w:topLinePunct/>
              <w:spacing w:line="360" w:lineRule="auto"/>
              <w:jc w:val="center"/>
              <w:rPr>
                <w:rFonts w:cs="仿宋"/>
              </w:rPr>
            </w:pPr>
          </w:p>
        </w:tc>
        <w:tc>
          <w:tcPr>
            <w:tcW w:w="1345" w:type="dxa"/>
            <w:gridSpan w:val="2"/>
            <w:tcBorders>
              <w:top w:val="single" w:color="000000" w:sz="4" w:space="0"/>
              <w:left w:val="single" w:color="000000" w:sz="4" w:space="0"/>
              <w:bottom w:val="single" w:color="000000" w:sz="4" w:space="0"/>
              <w:right w:val="single" w:color="000000" w:sz="4" w:space="0"/>
            </w:tcBorders>
            <w:vAlign w:val="center"/>
          </w:tcPr>
          <w:p w14:paraId="78480C41">
            <w:pPr>
              <w:topLinePunct/>
              <w:spacing w:line="360" w:lineRule="auto"/>
              <w:ind w:left="-105" w:leftChars="-50" w:right="-105" w:rightChars="-50"/>
              <w:jc w:val="center"/>
              <w:rPr>
                <w:rFonts w:cs="仿宋"/>
              </w:rPr>
            </w:pPr>
            <w:r>
              <w:rPr>
                <w:rFonts w:hint="eastAsia" w:cs="仿宋"/>
              </w:rPr>
              <w:t>流动资产</w:t>
            </w:r>
          </w:p>
        </w:tc>
        <w:tc>
          <w:tcPr>
            <w:tcW w:w="2142" w:type="dxa"/>
            <w:gridSpan w:val="2"/>
            <w:tcBorders>
              <w:top w:val="single" w:color="000000" w:sz="4" w:space="0"/>
              <w:left w:val="single" w:color="000000" w:sz="4" w:space="0"/>
              <w:bottom w:val="single" w:color="000000" w:sz="4" w:space="0"/>
              <w:right w:val="single" w:color="000000" w:sz="4" w:space="0"/>
            </w:tcBorders>
            <w:vAlign w:val="center"/>
          </w:tcPr>
          <w:p w14:paraId="336BE261">
            <w:pPr>
              <w:topLinePunct/>
              <w:spacing w:line="360" w:lineRule="auto"/>
              <w:ind w:left="-105" w:leftChars="-50" w:right="-105" w:rightChars="-50"/>
              <w:jc w:val="center"/>
              <w:rPr>
                <w:rFonts w:cs="仿宋"/>
              </w:rPr>
            </w:pPr>
          </w:p>
        </w:tc>
      </w:tr>
      <w:tr w14:paraId="4167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1C181318">
            <w:pPr>
              <w:spacing w:line="360" w:lineRule="auto"/>
              <w:rPr>
                <w:rFonts w:cs="仿宋"/>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14:paraId="78972283">
            <w:pPr>
              <w:spacing w:line="360" w:lineRule="auto"/>
              <w:rPr>
                <w:rFonts w:cs="仿宋"/>
              </w:rPr>
            </w:pPr>
          </w:p>
        </w:tc>
        <w:tc>
          <w:tcPr>
            <w:tcW w:w="1097" w:type="dxa"/>
            <w:tcBorders>
              <w:top w:val="single" w:color="000000" w:sz="4" w:space="0"/>
              <w:left w:val="single" w:color="000000" w:sz="4" w:space="0"/>
              <w:bottom w:val="single" w:color="000000" w:sz="4" w:space="0"/>
              <w:right w:val="single" w:color="000000" w:sz="4" w:space="0"/>
            </w:tcBorders>
            <w:vAlign w:val="center"/>
          </w:tcPr>
          <w:p w14:paraId="62C79FA4">
            <w:pPr>
              <w:topLinePunct/>
              <w:spacing w:line="360" w:lineRule="auto"/>
              <w:ind w:left="-105" w:leftChars="-50" w:right="-105" w:rightChars="-50"/>
              <w:jc w:val="center"/>
              <w:rPr>
                <w:rFonts w:cs="仿宋"/>
              </w:rPr>
            </w:pPr>
            <w:r>
              <w:rPr>
                <w:rFonts w:hint="eastAsia" w:cs="仿宋"/>
              </w:rPr>
              <w:t>长期负债</w:t>
            </w:r>
          </w:p>
        </w:tc>
        <w:tc>
          <w:tcPr>
            <w:tcW w:w="732" w:type="dxa"/>
            <w:tcBorders>
              <w:top w:val="single" w:color="000000" w:sz="4" w:space="0"/>
              <w:left w:val="single" w:color="000000" w:sz="4" w:space="0"/>
              <w:bottom w:val="single" w:color="000000" w:sz="4" w:space="0"/>
              <w:right w:val="single" w:color="000000" w:sz="4" w:space="0"/>
            </w:tcBorders>
            <w:vAlign w:val="center"/>
          </w:tcPr>
          <w:p w14:paraId="1C4BF789">
            <w:pPr>
              <w:topLinePunct/>
              <w:spacing w:line="360" w:lineRule="auto"/>
              <w:jc w:val="center"/>
              <w:rPr>
                <w:rFonts w:cs="仿宋"/>
              </w:rPr>
            </w:pPr>
          </w:p>
        </w:tc>
        <w:tc>
          <w:tcPr>
            <w:tcW w:w="923" w:type="dxa"/>
            <w:tcBorders>
              <w:top w:val="single" w:color="000000" w:sz="4" w:space="0"/>
              <w:left w:val="single" w:color="000000" w:sz="4" w:space="0"/>
              <w:bottom w:val="single" w:color="000000" w:sz="4" w:space="0"/>
              <w:right w:val="single" w:color="000000" w:sz="4" w:space="0"/>
            </w:tcBorders>
            <w:vAlign w:val="center"/>
          </w:tcPr>
          <w:p w14:paraId="685E3BFB">
            <w:pPr>
              <w:topLinePunct/>
              <w:spacing w:line="360" w:lineRule="auto"/>
              <w:ind w:left="-105" w:leftChars="-50" w:right="-105" w:rightChars="-50"/>
              <w:jc w:val="center"/>
              <w:rPr>
                <w:rFonts w:cs="仿宋"/>
              </w:rPr>
            </w:pPr>
          </w:p>
        </w:tc>
        <w:tc>
          <w:tcPr>
            <w:tcW w:w="1345" w:type="dxa"/>
            <w:gridSpan w:val="2"/>
            <w:tcBorders>
              <w:top w:val="single" w:color="000000" w:sz="4" w:space="0"/>
              <w:left w:val="single" w:color="000000" w:sz="4" w:space="0"/>
              <w:bottom w:val="single" w:color="000000" w:sz="4" w:space="0"/>
              <w:right w:val="single" w:color="000000" w:sz="4" w:space="0"/>
            </w:tcBorders>
            <w:vAlign w:val="center"/>
          </w:tcPr>
          <w:p w14:paraId="1EB27F98">
            <w:pPr>
              <w:topLinePunct/>
              <w:spacing w:line="360" w:lineRule="auto"/>
              <w:ind w:left="-166" w:leftChars="-79" w:right="-107" w:rightChars="-51"/>
              <w:jc w:val="center"/>
              <w:rPr>
                <w:rFonts w:cs="仿宋"/>
              </w:rPr>
            </w:pPr>
            <w:r>
              <w:rPr>
                <w:rFonts w:hint="eastAsia" w:cs="仿宋"/>
              </w:rPr>
              <w:t>流动负债</w:t>
            </w:r>
          </w:p>
        </w:tc>
        <w:tc>
          <w:tcPr>
            <w:tcW w:w="652" w:type="dxa"/>
            <w:tcBorders>
              <w:top w:val="single" w:color="000000" w:sz="4" w:space="0"/>
              <w:left w:val="single" w:color="000000" w:sz="4" w:space="0"/>
              <w:bottom w:val="single" w:color="000000" w:sz="4" w:space="0"/>
              <w:right w:val="single" w:color="000000" w:sz="4" w:space="0"/>
            </w:tcBorders>
            <w:vAlign w:val="center"/>
          </w:tcPr>
          <w:p w14:paraId="6B0AAB0E">
            <w:pPr>
              <w:topLinePunct/>
              <w:spacing w:line="360" w:lineRule="auto"/>
              <w:ind w:left="-105" w:leftChars="-50" w:right="-105" w:rightChars="-50"/>
              <w:jc w:val="center"/>
              <w:rPr>
                <w:rFonts w:cs="仿宋"/>
              </w:rPr>
            </w:pPr>
          </w:p>
        </w:tc>
        <w:tc>
          <w:tcPr>
            <w:tcW w:w="1490" w:type="dxa"/>
            <w:tcBorders>
              <w:top w:val="single" w:color="000000" w:sz="4" w:space="0"/>
              <w:left w:val="single" w:color="000000" w:sz="4" w:space="0"/>
              <w:bottom w:val="single" w:color="000000" w:sz="4" w:space="0"/>
              <w:right w:val="single" w:color="000000" w:sz="4" w:space="0"/>
            </w:tcBorders>
            <w:vAlign w:val="center"/>
          </w:tcPr>
          <w:p w14:paraId="767711DA">
            <w:pPr>
              <w:topLinePunct/>
              <w:spacing w:line="360" w:lineRule="auto"/>
              <w:jc w:val="center"/>
              <w:rPr>
                <w:rFonts w:cs="仿宋"/>
              </w:rPr>
            </w:pPr>
          </w:p>
        </w:tc>
      </w:tr>
      <w:tr w14:paraId="2C77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5523F98F">
            <w:pPr>
              <w:spacing w:line="360" w:lineRule="auto"/>
              <w:rPr>
                <w:rFonts w:cs="仿宋"/>
              </w:rPr>
            </w:pPr>
          </w:p>
        </w:tc>
        <w:tc>
          <w:tcPr>
            <w:tcW w:w="7656" w:type="dxa"/>
            <w:gridSpan w:val="8"/>
            <w:tcBorders>
              <w:top w:val="single" w:color="000000" w:sz="4" w:space="0"/>
              <w:left w:val="single" w:color="000000" w:sz="4" w:space="0"/>
              <w:bottom w:val="single" w:color="000000" w:sz="4" w:space="0"/>
              <w:right w:val="single" w:color="000000" w:sz="4" w:space="0"/>
            </w:tcBorders>
            <w:vAlign w:val="center"/>
          </w:tcPr>
          <w:p w14:paraId="4D73C510">
            <w:pPr>
              <w:topLinePunct/>
              <w:spacing w:line="360" w:lineRule="auto"/>
              <w:rPr>
                <w:rFonts w:cs="仿宋"/>
              </w:rPr>
            </w:pPr>
            <w:r>
              <w:rPr>
                <w:rFonts w:hint="eastAsia" w:cs="仿宋"/>
              </w:rPr>
              <w:t>经营范围：</w:t>
            </w:r>
          </w:p>
        </w:tc>
      </w:tr>
    </w:tbl>
    <w:p w14:paraId="1BB54680">
      <w:pPr>
        <w:topLinePunct/>
        <w:spacing w:line="360" w:lineRule="auto"/>
        <w:ind w:firstLine="420" w:firstLineChars="200"/>
        <w:rPr>
          <w:rFonts w:cs="仿宋"/>
        </w:rPr>
      </w:pPr>
      <w:r>
        <w:rPr>
          <w:rFonts w:hint="eastAsia" w:cs="仿宋"/>
        </w:rPr>
        <w:t>注：本表可增加并扩展。</w:t>
      </w:r>
    </w:p>
    <w:p w14:paraId="61419128">
      <w:pPr>
        <w:topLinePunct/>
        <w:spacing w:line="360" w:lineRule="auto"/>
        <w:ind w:firstLine="420" w:firstLineChars="200"/>
      </w:pPr>
      <w:r>
        <w:rPr>
          <w:rFonts w:hint="eastAsia" w:cs="仿宋"/>
        </w:rPr>
        <w:t>附：</w:t>
      </w:r>
      <w:r>
        <w:rPr>
          <w:rFonts w:hint="eastAsia"/>
        </w:rPr>
        <w:t>包括但不限于：营业执照、资质证书、体系认证、资信等级、获奖证书等的复印件，加盖公章。</w:t>
      </w:r>
    </w:p>
    <w:p w14:paraId="58E819C6">
      <w:pPr>
        <w:pStyle w:val="27"/>
        <w:rPr>
          <w:color w:val="auto"/>
        </w:rPr>
      </w:pPr>
    </w:p>
    <w:p w14:paraId="7A2A53AC">
      <w:pPr>
        <w:spacing w:line="360" w:lineRule="auto"/>
        <w:rPr>
          <w:rFonts w:cs="仿宋"/>
        </w:rPr>
      </w:pPr>
      <w:bookmarkStart w:id="158" w:name="_Toc426317296"/>
      <w:r>
        <w:rPr>
          <w:rFonts w:hint="eastAsia" w:cs="仿宋"/>
        </w:rPr>
        <w:t>4.2人员</w:t>
      </w:r>
      <w:r>
        <w:rPr>
          <w:rFonts w:hint="eastAsia"/>
        </w:rPr>
        <w:t>资格证书及</w:t>
      </w:r>
      <w:r>
        <w:rPr>
          <w:rFonts w:hint="eastAsia" w:cs="仿宋"/>
        </w:rPr>
        <w:t>社保证明（近6个月）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1701"/>
        <w:gridCol w:w="2126"/>
        <w:gridCol w:w="2035"/>
      </w:tblGrid>
      <w:tr w14:paraId="306F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C9AA772">
            <w:pPr>
              <w:pStyle w:val="27"/>
              <w:jc w:val="center"/>
              <w:rPr>
                <w:color w:val="auto"/>
                <w:sz w:val="21"/>
                <w:szCs w:val="21"/>
              </w:rPr>
            </w:pPr>
            <w:r>
              <w:rPr>
                <w:color w:val="auto"/>
                <w:sz w:val="21"/>
                <w:szCs w:val="21"/>
              </w:rPr>
              <w:t>序号</w:t>
            </w:r>
          </w:p>
        </w:tc>
        <w:tc>
          <w:tcPr>
            <w:tcW w:w="1559" w:type="dxa"/>
            <w:vAlign w:val="center"/>
          </w:tcPr>
          <w:p w14:paraId="6A017B0B">
            <w:pPr>
              <w:pStyle w:val="27"/>
              <w:jc w:val="center"/>
              <w:rPr>
                <w:color w:val="auto"/>
                <w:sz w:val="21"/>
                <w:szCs w:val="21"/>
              </w:rPr>
            </w:pPr>
            <w:r>
              <w:rPr>
                <w:color w:val="auto"/>
                <w:sz w:val="21"/>
                <w:szCs w:val="21"/>
              </w:rPr>
              <w:t>姓名</w:t>
            </w:r>
          </w:p>
        </w:tc>
        <w:tc>
          <w:tcPr>
            <w:tcW w:w="1701" w:type="dxa"/>
            <w:vAlign w:val="center"/>
          </w:tcPr>
          <w:p w14:paraId="0BFBF0C7">
            <w:pPr>
              <w:pStyle w:val="27"/>
              <w:jc w:val="center"/>
              <w:rPr>
                <w:color w:val="auto"/>
                <w:sz w:val="21"/>
                <w:szCs w:val="21"/>
              </w:rPr>
            </w:pPr>
            <w:r>
              <w:rPr>
                <w:color w:val="auto"/>
                <w:sz w:val="21"/>
                <w:szCs w:val="21"/>
              </w:rPr>
              <w:t>技术职称</w:t>
            </w:r>
          </w:p>
        </w:tc>
        <w:tc>
          <w:tcPr>
            <w:tcW w:w="2126" w:type="dxa"/>
            <w:vAlign w:val="center"/>
          </w:tcPr>
          <w:p w14:paraId="456EE730">
            <w:pPr>
              <w:pStyle w:val="27"/>
              <w:jc w:val="center"/>
              <w:rPr>
                <w:color w:val="auto"/>
                <w:sz w:val="21"/>
                <w:szCs w:val="21"/>
              </w:rPr>
            </w:pPr>
            <w:r>
              <w:rPr>
                <w:color w:val="auto"/>
                <w:sz w:val="21"/>
                <w:szCs w:val="21"/>
              </w:rPr>
              <w:t>评价专业</w:t>
            </w:r>
          </w:p>
        </w:tc>
        <w:tc>
          <w:tcPr>
            <w:tcW w:w="2035" w:type="dxa"/>
            <w:vAlign w:val="center"/>
          </w:tcPr>
          <w:p w14:paraId="6FB306A9">
            <w:pPr>
              <w:pStyle w:val="27"/>
              <w:jc w:val="center"/>
              <w:rPr>
                <w:color w:val="auto"/>
                <w:sz w:val="21"/>
                <w:szCs w:val="21"/>
              </w:rPr>
            </w:pPr>
            <w:r>
              <w:rPr>
                <w:color w:val="auto"/>
                <w:sz w:val="21"/>
                <w:szCs w:val="21"/>
              </w:rPr>
              <w:t>有无社保证明</w:t>
            </w:r>
          </w:p>
        </w:tc>
      </w:tr>
      <w:tr w14:paraId="4890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8E0AC99">
            <w:pPr>
              <w:pStyle w:val="27"/>
              <w:jc w:val="center"/>
              <w:rPr>
                <w:color w:val="auto"/>
                <w:sz w:val="21"/>
                <w:szCs w:val="21"/>
              </w:rPr>
            </w:pPr>
            <w:r>
              <w:rPr>
                <w:rFonts w:hint="eastAsia"/>
                <w:color w:val="auto"/>
                <w:sz w:val="21"/>
                <w:szCs w:val="21"/>
              </w:rPr>
              <w:t>1</w:t>
            </w:r>
          </w:p>
        </w:tc>
        <w:tc>
          <w:tcPr>
            <w:tcW w:w="1559" w:type="dxa"/>
            <w:vAlign w:val="center"/>
          </w:tcPr>
          <w:p w14:paraId="03FE0472">
            <w:pPr>
              <w:pStyle w:val="27"/>
              <w:jc w:val="center"/>
              <w:rPr>
                <w:color w:val="auto"/>
                <w:sz w:val="21"/>
                <w:szCs w:val="21"/>
              </w:rPr>
            </w:pPr>
          </w:p>
        </w:tc>
        <w:tc>
          <w:tcPr>
            <w:tcW w:w="1701" w:type="dxa"/>
            <w:vAlign w:val="center"/>
          </w:tcPr>
          <w:p w14:paraId="1E61EADD">
            <w:pPr>
              <w:pStyle w:val="27"/>
              <w:jc w:val="center"/>
              <w:rPr>
                <w:color w:val="auto"/>
                <w:sz w:val="21"/>
                <w:szCs w:val="21"/>
              </w:rPr>
            </w:pPr>
          </w:p>
        </w:tc>
        <w:tc>
          <w:tcPr>
            <w:tcW w:w="2126" w:type="dxa"/>
            <w:vAlign w:val="center"/>
          </w:tcPr>
          <w:p w14:paraId="6C5E83FD">
            <w:pPr>
              <w:pStyle w:val="27"/>
              <w:jc w:val="center"/>
              <w:rPr>
                <w:color w:val="auto"/>
                <w:sz w:val="21"/>
                <w:szCs w:val="21"/>
              </w:rPr>
            </w:pPr>
          </w:p>
        </w:tc>
        <w:tc>
          <w:tcPr>
            <w:tcW w:w="2035" w:type="dxa"/>
            <w:vAlign w:val="center"/>
          </w:tcPr>
          <w:p w14:paraId="15BB9F94">
            <w:pPr>
              <w:pStyle w:val="27"/>
              <w:jc w:val="center"/>
              <w:rPr>
                <w:color w:val="auto"/>
                <w:sz w:val="21"/>
                <w:szCs w:val="21"/>
              </w:rPr>
            </w:pPr>
          </w:p>
        </w:tc>
      </w:tr>
      <w:tr w14:paraId="4FD1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B1B9476">
            <w:pPr>
              <w:pStyle w:val="27"/>
              <w:jc w:val="center"/>
              <w:rPr>
                <w:color w:val="auto"/>
                <w:sz w:val="21"/>
                <w:szCs w:val="21"/>
              </w:rPr>
            </w:pPr>
            <w:r>
              <w:rPr>
                <w:rFonts w:hint="eastAsia"/>
                <w:color w:val="auto"/>
                <w:sz w:val="21"/>
                <w:szCs w:val="21"/>
              </w:rPr>
              <w:t>2</w:t>
            </w:r>
          </w:p>
        </w:tc>
        <w:tc>
          <w:tcPr>
            <w:tcW w:w="1559" w:type="dxa"/>
            <w:vAlign w:val="center"/>
          </w:tcPr>
          <w:p w14:paraId="78037DE3">
            <w:pPr>
              <w:pStyle w:val="27"/>
              <w:jc w:val="center"/>
              <w:rPr>
                <w:color w:val="auto"/>
                <w:sz w:val="21"/>
                <w:szCs w:val="21"/>
              </w:rPr>
            </w:pPr>
          </w:p>
        </w:tc>
        <w:tc>
          <w:tcPr>
            <w:tcW w:w="1701" w:type="dxa"/>
            <w:vAlign w:val="center"/>
          </w:tcPr>
          <w:p w14:paraId="06F76719">
            <w:pPr>
              <w:pStyle w:val="27"/>
              <w:jc w:val="center"/>
              <w:rPr>
                <w:color w:val="auto"/>
                <w:sz w:val="21"/>
                <w:szCs w:val="21"/>
              </w:rPr>
            </w:pPr>
          </w:p>
        </w:tc>
        <w:tc>
          <w:tcPr>
            <w:tcW w:w="2126" w:type="dxa"/>
            <w:vAlign w:val="center"/>
          </w:tcPr>
          <w:p w14:paraId="5D072683">
            <w:pPr>
              <w:pStyle w:val="27"/>
              <w:jc w:val="center"/>
              <w:rPr>
                <w:color w:val="auto"/>
                <w:sz w:val="21"/>
                <w:szCs w:val="21"/>
              </w:rPr>
            </w:pPr>
          </w:p>
        </w:tc>
        <w:tc>
          <w:tcPr>
            <w:tcW w:w="2035" w:type="dxa"/>
            <w:vAlign w:val="center"/>
          </w:tcPr>
          <w:p w14:paraId="65048003">
            <w:pPr>
              <w:pStyle w:val="27"/>
              <w:jc w:val="center"/>
              <w:rPr>
                <w:color w:val="auto"/>
                <w:sz w:val="21"/>
                <w:szCs w:val="21"/>
              </w:rPr>
            </w:pPr>
          </w:p>
        </w:tc>
      </w:tr>
      <w:tr w14:paraId="70DA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A74077E">
            <w:pPr>
              <w:pStyle w:val="27"/>
              <w:jc w:val="center"/>
              <w:rPr>
                <w:color w:val="auto"/>
                <w:sz w:val="21"/>
                <w:szCs w:val="21"/>
              </w:rPr>
            </w:pPr>
            <w:r>
              <w:rPr>
                <w:rFonts w:hint="eastAsia"/>
                <w:color w:val="auto"/>
                <w:sz w:val="21"/>
                <w:szCs w:val="21"/>
              </w:rPr>
              <w:t>3</w:t>
            </w:r>
          </w:p>
        </w:tc>
        <w:tc>
          <w:tcPr>
            <w:tcW w:w="1559" w:type="dxa"/>
            <w:vAlign w:val="center"/>
          </w:tcPr>
          <w:p w14:paraId="274C999A">
            <w:pPr>
              <w:pStyle w:val="27"/>
              <w:jc w:val="center"/>
              <w:rPr>
                <w:color w:val="auto"/>
                <w:sz w:val="21"/>
                <w:szCs w:val="21"/>
              </w:rPr>
            </w:pPr>
          </w:p>
        </w:tc>
        <w:tc>
          <w:tcPr>
            <w:tcW w:w="1701" w:type="dxa"/>
            <w:vAlign w:val="center"/>
          </w:tcPr>
          <w:p w14:paraId="30707EA4">
            <w:pPr>
              <w:pStyle w:val="27"/>
              <w:jc w:val="center"/>
              <w:rPr>
                <w:color w:val="auto"/>
                <w:sz w:val="21"/>
                <w:szCs w:val="21"/>
              </w:rPr>
            </w:pPr>
          </w:p>
        </w:tc>
        <w:tc>
          <w:tcPr>
            <w:tcW w:w="2126" w:type="dxa"/>
            <w:vAlign w:val="center"/>
          </w:tcPr>
          <w:p w14:paraId="2181473F">
            <w:pPr>
              <w:pStyle w:val="27"/>
              <w:jc w:val="center"/>
              <w:rPr>
                <w:color w:val="auto"/>
                <w:sz w:val="21"/>
                <w:szCs w:val="21"/>
              </w:rPr>
            </w:pPr>
          </w:p>
        </w:tc>
        <w:tc>
          <w:tcPr>
            <w:tcW w:w="2035" w:type="dxa"/>
            <w:vAlign w:val="center"/>
          </w:tcPr>
          <w:p w14:paraId="48B361F2">
            <w:pPr>
              <w:pStyle w:val="27"/>
              <w:jc w:val="center"/>
              <w:rPr>
                <w:color w:val="auto"/>
                <w:sz w:val="21"/>
                <w:szCs w:val="21"/>
              </w:rPr>
            </w:pPr>
          </w:p>
        </w:tc>
      </w:tr>
      <w:tr w14:paraId="6511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9C37D72">
            <w:pPr>
              <w:pStyle w:val="27"/>
              <w:jc w:val="center"/>
              <w:rPr>
                <w:color w:val="auto"/>
                <w:sz w:val="21"/>
                <w:szCs w:val="21"/>
              </w:rPr>
            </w:pPr>
            <w:r>
              <w:rPr>
                <w:rFonts w:hint="eastAsia"/>
                <w:color w:val="auto"/>
                <w:sz w:val="21"/>
                <w:szCs w:val="21"/>
              </w:rPr>
              <w:t>4</w:t>
            </w:r>
          </w:p>
        </w:tc>
        <w:tc>
          <w:tcPr>
            <w:tcW w:w="1559" w:type="dxa"/>
            <w:vAlign w:val="center"/>
          </w:tcPr>
          <w:p w14:paraId="78A2F3CA">
            <w:pPr>
              <w:pStyle w:val="27"/>
              <w:jc w:val="center"/>
              <w:rPr>
                <w:color w:val="auto"/>
                <w:sz w:val="21"/>
                <w:szCs w:val="21"/>
              </w:rPr>
            </w:pPr>
          </w:p>
        </w:tc>
        <w:tc>
          <w:tcPr>
            <w:tcW w:w="1701" w:type="dxa"/>
            <w:vAlign w:val="center"/>
          </w:tcPr>
          <w:p w14:paraId="4E7E830E">
            <w:pPr>
              <w:pStyle w:val="27"/>
              <w:jc w:val="center"/>
              <w:rPr>
                <w:color w:val="auto"/>
                <w:sz w:val="21"/>
                <w:szCs w:val="21"/>
              </w:rPr>
            </w:pPr>
          </w:p>
        </w:tc>
        <w:tc>
          <w:tcPr>
            <w:tcW w:w="2126" w:type="dxa"/>
            <w:vAlign w:val="center"/>
          </w:tcPr>
          <w:p w14:paraId="5F97BC0A">
            <w:pPr>
              <w:pStyle w:val="27"/>
              <w:jc w:val="center"/>
              <w:rPr>
                <w:color w:val="auto"/>
                <w:sz w:val="21"/>
                <w:szCs w:val="21"/>
              </w:rPr>
            </w:pPr>
          </w:p>
        </w:tc>
        <w:tc>
          <w:tcPr>
            <w:tcW w:w="2035" w:type="dxa"/>
            <w:vAlign w:val="center"/>
          </w:tcPr>
          <w:p w14:paraId="12BDF473">
            <w:pPr>
              <w:pStyle w:val="27"/>
              <w:jc w:val="center"/>
              <w:rPr>
                <w:color w:val="auto"/>
                <w:sz w:val="21"/>
                <w:szCs w:val="21"/>
              </w:rPr>
            </w:pPr>
          </w:p>
        </w:tc>
      </w:tr>
      <w:tr w14:paraId="7348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56E8A564">
            <w:pPr>
              <w:pStyle w:val="27"/>
              <w:jc w:val="center"/>
              <w:rPr>
                <w:color w:val="auto"/>
                <w:sz w:val="21"/>
                <w:szCs w:val="21"/>
              </w:rPr>
            </w:pPr>
            <w:r>
              <w:rPr>
                <w:color w:val="auto"/>
                <w:sz w:val="21"/>
                <w:szCs w:val="21"/>
              </w:rPr>
              <w:t>…</w:t>
            </w:r>
          </w:p>
        </w:tc>
        <w:tc>
          <w:tcPr>
            <w:tcW w:w="1559" w:type="dxa"/>
            <w:vAlign w:val="center"/>
          </w:tcPr>
          <w:p w14:paraId="54DA61E0">
            <w:pPr>
              <w:pStyle w:val="27"/>
              <w:jc w:val="center"/>
              <w:rPr>
                <w:color w:val="auto"/>
                <w:sz w:val="21"/>
                <w:szCs w:val="21"/>
              </w:rPr>
            </w:pPr>
          </w:p>
        </w:tc>
        <w:tc>
          <w:tcPr>
            <w:tcW w:w="1701" w:type="dxa"/>
            <w:vAlign w:val="center"/>
          </w:tcPr>
          <w:p w14:paraId="27C70BFE">
            <w:pPr>
              <w:pStyle w:val="27"/>
              <w:jc w:val="center"/>
              <w:rPr>
                <w:color w:val="auto"/>
                <w:sz w:val="21"/>
                <w:szCs w:val="21"/>
              </w:rPr>
            </w:pPr>
          </w:p>
        </w:tc>
        <w:tc>
          <w:tcPr>
            <w:tcW w:w="2126" w:type="dxa"/>
            <w:vAlign w:val="center"/>
          </w:tcPr>
          <w:p w14:paraId="6B3EC068">
            <w:pPr>
              <w:pStyle w:val="27"/>
              <w:jc w:val="center"/>
              <w:rPr>
                <w:color w:val="auto"/>
                <w:sz w:val="21"/>
                <w:szCs w:val="21"/>
              </w:rPr>
            </w:pPr>
          </w:p>
        </w:tc>
        <w:tc>
          <w:tcPr>
            <w:tcW w:w="2035" w:type="dxa"/>
            <w:vAlign w:val="center"/>
          </w:tcPr>
          <w:p w14:paraId="2D5EB452">
            <w:pPr>
              <w:pStyle w:val="27"/>
              <w:jc w:val="center"/>
              <w:rPr>
                <w:color w:val="auto"/>
                <w:sz w:val="21"/>
                <w:szCs w:val="21"/>
              </w:rPr>
            </w:pPr>
          </w:p>
        </w:tc>
      </w:tr>
    </w:tbl>
    <w:p w14:paraId="59FB5DAB">
      <w:pPr>
        <w:pStyle w:val="27"/>
        <w:rPr>
          <w:color w:val="auto"/>
          <w:sz w:val="21"/>
          <w:szCs w:val="21"/>
        </w:rPr>
      </w:pPr>
      <w:r>
        <w:rPr>
          <w:color w:val="auto"/>
          <w:sz w:val="21"/>
          <w:szCs w:val="21"/>
        </w:rPr>
        <w:t>附：专业技术人员资质证书、社保证明</w:t>
      </w:r>
    </w:p>
    <w:p w14:paraId="047E103B">
      <w:pPr>
        <w:pStyle w:val="27"/>
        <w:rPr>
          <w:color w:val="auto"/>
          <w:sz w:val="21"/>
          <w:szCs w:val="21"/>
        </w:rPr>
      </w:pPr>
    </w:p>
    <w:p w14:paraId="4E5FB0A5">
      <w:pPr>
        <w:spacing w:line="360" w:lineRule="auto"/>
        <w:rPr>
          <w:rStyle w:val="28"/>
          <w:rFonts w:cs="仿宋"/>
          <w:b w:val="0"/>
        </w:rPr>
      </w:pPr>
      <w:r>
        <w:rPr>
          <w:rFonts w:hint="eastAsia" w:cs="仿宋"/>
          <w:bCs/>
        </w:rPr>
        <w:t>4.2符合资格条件的业绩汇总表</w:t>
      </w:r>
      <w:bookmarkEnd w:id="158"/>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740"/>
        <w:gridCol w:w="3125"/>
      </w:tblGrid>
      <w:tr w14:paraId="10A3E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1526" w:type="dxa"/>
            <w:vAlign w:val="center"/>
          </w:tcPr>
          <w:p w14:paraId="73ECFF73">
            <w:pPr>
              <w:adjustRightInd w:val="0"/>
              <w:snapToGrid w:val="0"/>
              <w:jc w:val="center"/>
              <w:rPr>
                <w:rFonts w:cs="仿宋"/>
              </w:rPr>
            </w:pPr>
            <w:r>
              <w:rPr>
                <w:rFonts w:hint="eastAsia" w:cs="仿宋"/>
              </w:rPr>
              <w:t>序号</w:t>
            </w:r>
          </w:p>
        </w:tc>
        <w:tc>
          <w:tcPr>
            <w:tcW w:w="3740" w:type="dxa"/>
            <w:vAlign w:val="center"/>
          </w:tcPr>
          <w:p w14:paraId="4FDC6824">
            <w:pPr>
              <w:adjustRightInd w:val="0"/>
              <w:snapToGrid w:val="0"/>
              <w:jc w:val="center"/>
              <w:rPr>
                <w:rFonts w:cs="仿宋"/>
              </w:rPr>
            </w:pPr>
            <w:bookmarkStart w:id="159" w:name="_Toc351401531"/>
            <w:bookmarkStart w:id="160" w:name="_Toc351401530"/>
            <w:r>
              <w:rPr>
                <w:rFonts w:hint="eastAsia" w:cs="仿宋"/>
              </w:rPr>
              <w:t>项目业主</w:t>
            </w:r>
            <w:bookmarkEnd w:id="159"/>
            <w:r>
              <w:rPr>
                <w:rFonts w:hint="eastAsia" w:cs="仿宋"/>
              </w:rPr>
              <w:t>名称</w:t>
            </w:r>
            <w:bookmarkEnd w:id="160"/>
          </w:p>
        </w:tc>
        <w:tc>
          <w:tcPr>
            <w:tcW w:w="3125" w:type="dxa"/>
            <w:vAlign w:val="center"/>
          </w:tcPr>
          <w:p w14:paraId="1AA398A4">
            <w:pPr>
              <w:adjustRightInd w:val="0"/>
              <w:snapToGrid w:val="0"/>
              <w:jc w:val="center"/>
              <w:rPr>
                <w:rFonts w:cs="仿宋"/>
              </w:rPr>
            </w:pPr>
            <w:r>
              <w:rPr>
                <w:rFonts w:hint="eastAsia" w:cs="仿宋"/>
              </w:rPr>
              <w:t>签订日期</w:t>
            </w:r>
          </w:p>
          <w:p w14:paraId="474D8865">
            <w:pPr>
              <w:adjustRightInd w:val="0"/>
              <w:snapToGrid w:val="0"/>
              <w:jc w:val="center"/>
              <w:rPr>
                <w:rFonts w:cs="仿宋"/>
              </w:rPr>
            </w:pPr>
            <w:r>
              <w:rPr>
                <w:rFonts w:hint="eastAsia" w:cs="仿宋"/>
              </w:rPr>
              <w:t>（年月）</w:t>
            </w:r>
          </w:p>
        </w:tc>
      </w:tr>
      <w:tr w14:paraId="08FE9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526" w:type="dxa"/>
            <w:vAlign w:val="center"/>
          </w:tcPr>
          <w:p w14:paraId="6A6D072B">
            <w:pPr>
              <w:adjustRightInd w:val="0"/>
              <w:snapToGrid w:val="0"/>
              <w:jc w:val="center"/>
              <w:rPr>
                <w:rFonts w:cs="仿宋"/>
              </w:rPr>
            </w:pPr>
            <w:r>
              <w:rPr>
                <w:rFonts w:hint="eastAsia" w:cs="仿宋"/>
              </w:rPr>
              <w:t>1</w:t>
            </w:r>
          </w:p>
        </w:tc>
        <w:tc>
          <w:tcPr>
            <w:tcW w:w="3740" w:type="dxa"/>
            <w:vAlign w:val="center"/>
          </w:tcPr>
          <w:p w14:paraId="1CB1725A">
            <w:pPr>
              <w:pStyle w:val="37"/>
              <w:spacing w:beforeLines="0" w:after="0" w:line="240" w:lineRule="auto"/>
              <w:rPr>
                <w:rFonts w:ascii="宋体" w:hAnsi="宋体" w:cs="仿宋"/>
                <w:b w:val="0"/>
                <w:sz w:val="24"/>
                <w:szCs w:val="24"/>
              </w:rPr>
            </w:pPr>
          </w:p>
        </w:tc>
        <w:tc>
          <w:tcPr>
            <w:tcW w:w="3125" w:type="dxa"/>
            <w:vAlign w:val="center"/>
          </w:tcPr>
          <w:p w14:paraId="1235EEEF">
            <w:pPr>
              <w:pStyle w:val="37"/>
              <w:spacing w:beforeLines="0" w:after="0" w:line="240" w:lineRule="auto"/>
              <w:rPr>
                <w:rFonts w:ascii="宋体" w:hAnsi="宋体" w:cs="仿宋"/>
                <w:b w:val="0"/>
                <w:sz w:val="24"/>
                <w:szCs w:val="24"/>
              </w:rPr>
            </w:pPr>
          </w:p>
        </w:tc>
      </w:tr>
      <w:tr w14:paraId="70DD9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526" w:type="dxa"/>
            <w:vAlign w:val="center"/>
          </w:tcPr>
          <w:p w14:paraId="18805A2D">
            <w:pPr>
              <w:adjustRightInd w:val="0"/>
              <w:snapToGrid w:val="0"/>
              <w:jc w:val="center"/>
              <w:rPr>
                <w:rFonts w:cs="仿宋"/>
              </w:rPr>
            </w:pPr>
            <w:r>
              <w:rPr>
                <w:rFonts w:hint="eastAsia" w:cs="仿宋"/>
              </w:rPr>
              <w:t>2</w:t>
            </w:r>
          </w:p>
        </w:tc>
        <w:tc>
          <w:tcPr>
            <w:tcW w:w="3740" w:type="dxa"/>
            <w:vAlign w:val="center"/>
          </w:tcPr>
          <w:p w14:paraId="26F69C06">
            <w:pPr>
              <w:pStyle w:val="37"/>
              <w:spacing w:beforeLines="0" w:after="0" w:line="240" w:lineRule="auto"/>
              <w:rPr>
                <w:rFonts w:ascii="宋体" w:hAnsi="宋体" w:cs="仿宋"/>
                <w:b w:val="0"/>
                <w:sz w:val="24"/>
                <w:szCs w:val="24"/>
              </w:rPr>
            </w:pPr>
          </w:p>
        </w:tc>
        <w:tc>
          <w:tcPr>
            <w:tcW w:w="3125" w:type="dxa"/>
            <w:vAlign w:val="center"/>
          </w:tcPr>
          <w:p w14:paraId="2837E82A">
            <w:pPr>
              <w:pStyle w:val="37"/>
              <w:spacing w:beforeLines="0" w:after="0" w:line="240" w:lineRule="auto"/>
              <w:rPr>
                <w:rFonts w:ascii="宋体" w:hAnsi="宋体" w:cs="仿宋"/>
                <w:b w:val="0"/>
                <w:sz w:val="24"/>
                <w:szCs w:val="24"/>
              </w:rPr>
            </w:pPr>
          </w:p>
        </w:tc>
      </w:tr>
      <w:tr w14:paraId="3A6A5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526" w:type="dxa"/>
            <w:vAlign w:val="center"/>
          </w:tcPr>
          <w:p w14:paraId="656F5978">
            <w:pPr>
              <w:adjustRightInd w:val="0"/>
              <w:snapToGrid w:val="0"/>
              <w:jc w:val="center"/>
              <w:rPr>
                <w:rFonts w:cs="仿宋"/>
              </w:rPr>
            </w:pPr>
            <w:r>
              <w:rPr>
                <w:rFonts w:hint="eastAsia" w:cs="仿宋"/>
              </w:rPr>
              <w:t>3</w:t>
            </w:r>
          </w:p>
        </w:tc>
        <w:tc>
          <w:tcPr>
            <w:tcW w:w="3740" w:type="dxa"/>
            <w:vAlign w:val="center"/>
          </w:tcPr>
          <w:p w14:paraId="5233B074">
            <w:pPr>
              <w:pStyle w:val="37"/>
              <w:spacing w:beforeLines="0" w:after="0" w:line="240" w:lineRule="auto"/>
              <w:rPr>
                <w:rFonts w:ascii="宋体" w:hAnsi="宋体" w:cs="仿宋"/>
                <w:b w:val="0"/>
                <w:sz w:val="24"/>
                <w:szCs w:val="24"/>
              </w:rPr>
            </w:pPr>
          </w:p>
        </w:tc>
        <w:tc>
          <w:tcPr>
            <w:tcW w:w="3125" w:type="dxa"/>
            <w:vAlign w:val="center"/>
          </w:tcPr>
          <w:p w14:paraId="55D7B0C2">
            <w:pPr>
              <w:pStyle w:val="37"/>
              <w:spacing w:beforeLines="0" w:after="0" w:line="240" w:lineRule="auto"/>
              <w:rPr>
                <w:rFonts w:ascii="宋体" w:hAnsi="宋体" w:cs="仿宋"/>
                <w:b w:val="0"/>
                <w:sz w:val="24"/>
                <w:szCs w:val="24"/>
              </w:rPr>
            </w:pPr>
          </w:p>
        </w:tc>
      </w:tr>
      <w:tr w14:paraId="7028C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526" w:type="dxa"/>
            <w:vAlign w:val="center"/>
          </w:tcPr>
          <w:p w14:paraId="6291F095">
            <w:pPr>
              <w:adjustRightInd w:val="0"/>
              <w:snapToGrid w:val="0"/>
              <w:jc w:val="center"/>
              <w:rPr>
                <w:rFonts w:cs="仿宋"/>
              </w:rPr>
            </w:pPr>
            <w:r>
              <w:rPr>
                <w:rFonts w:hint="eastAsia" w:cs="仿宋"/>
              </w:rPr>
              <w:t>……</w:t>
            </w:r>
          </w:p>
        </w:tc>
        <w:tc>
          <w:tcPr>
            <w:tcW w:w="3740" w:type="dxa"/>
            <w:vAlign w:val="center"/>
          </w:tcPr>
          <w:p w14:paraId="343F14E3">
            <w:pPr>
              <w:pStyle w:val="37"/>
              <w:spacing w:beforeLines="0" w:after="0" w:line="240" w:lineRule="auto"/>
              <w:rPr>
                <w:rFonts w:ascii="宋体" w:hAnsi="宋体" w:cs="仿宋"/>
                <w:b w:val="0"/>
                <w:sz w:val="24"/>
                <w:szCs w:val="24"/>
              </w:rPr>
            </w:pPr>
          </w:p>
        </w:tc>
        <w:tc>
          <w:tcPr>
            <w:tcW w:w="3125" w:type="dxa"/>
            <w:vAlign w:val="center"/>
          </w:tcPr>
          <w:p w14:paraId="0437D778">
            <w:pPr>
              <w:pStyle w:val="37"/>
              <w:spacing w:beforeLines="0" w:after="0" w:line="240" w:lineRule="auto"/>
              <w:rPr>
                <w:rFonts w:ascii="宋体" w:hAnsi="宋体" w:cs="仿宋"/>
                <w:b w:val="0"/>
                <w:sz w:val="24"/>
                <w:szCs w:val="24"/>
              </w:rPr>
            </w:pPr>
          </w:p>
        </w:tc>
      </w:tr>
    </w:tbl>
    <w:p w14:paraId="4035059F">
      <w:pPr>
        <w:topLinePunct/>
        <w:spacing w:line="360" w:lineRule="auto"/>
        <w:ind w:firstLine="420" w:firstLineChars="200"/>
        <w:rPr>
          <w:rFonts w:cs="仿宋"/>
        </w:rPr>
      </w:pPr>
      <w:r>
        <w:rPr>
          <w:rFonts w:hint="eastAsia" w:cs="仿宋"/>
        </w:rPr>
        <w:t>附：服务</w:t>
      </w:r>
      <w:r>
        <w:rPr>
          <w:rFonts w:hint="eastAsia"/>
        </w:rPr>
        <w:t>合同及发票等相关证明材料（扫描件）</w:t>
      </w:r>
    </w:p>
    <w:p w14:paraId="392F7B45">
      <w:pPr>
        <w:spacing w:line="360" w:lineRule="auto"/>
        <w:rPr>
          <w:rFonts w:cs="仿宋"/>
        </w:rPr>
      </w:pPr>
    </w:p>
    <w:p w14:paraId="7D384B54">
      <w:pPr>
        <w:spacing w:line="360" w:lineRule="auto"/>
        <w:ind w:firstLine="3675" w:firstLineChars="1750"/>
        <w:rPr>
          <w:rFonts w:cs="仿宋"/>
        </w:rPr>
      </w:pPr>
      <w:r>
        <w:rPr>
          <w:rFonts w:hint="eastAsia" w:cs="仿宋"/>
        </w:rPr>
        <w:t>供应商：（盖单位章）</w:t>
      </w:r>
    </w:p>
    <w:p w14:paraId="471DBF13">
      <w:pPr>
        <w:spacing w:line="360" w:lineRule="auto"/>
        <w:ind w:firstLine="3675" w:firstLineChars="1750"/>
        <w:rPr>
          <w:rFonts w:cs="仿宋"/>
        </w:rPr>
      </w:pPr>
      <w:r>
        <w:rPr>
          <w:rFonts w:hint="eastAsia" w:cs="仿宋"/>
        </w:rPr>
        <w:t>法定代表人或其委托代理人：（签字）</w:t>
      </w:r>
    </w:p>
    <w:p w14:paraId="5A5BCD7D">
      <w:pPr>
        <w:spacing w:line="360" w:lineRule="auto"/>
        <w:ind w:firstLine="3675" w:firstLineChars="1750"/>
        <w:rPr>
          <w:rFonts w:cs="仿宋"/>
        </w:rPr>
      </w:pPr>
      <w:r>
        <w:rPr>
          <w:rFonts w:hint="eastAsia" w:cs="仿宋"/>
        </w:rPr>
        <w:t>年月日</w:t>
      </w:r>
    </w:p>
    <w:p w14:paraId="692DCB19">
      <w:pPr>
        <w:spacing w:line="360" w:lineRule="auto"/>
        <w:rPr>
          <w:rFonts w:cs="仿宋"/>
          <w:spacing w:val="20"/>
          <w:u w:val="single"/>
        </w:rPr>
      </w:pPr>
    </w:p>
    <w:p w14:paraId="1E317763">
      <w:pPr>
        <w:spacing w:line="360" w:lineRule="auto"/>
        <w:rPr>
          <w:rFonts w:cs="仿宋"/>
          <w:b/>
          <w:bCs/>
          <w:spacing w:val="20"/>
        </w:rPr>
      </w:pPr>
      <w:r>
        <w:rPr>
          <w:rFonts w:hint="eastAsia" w:cs="仿宋"/>
          <w:spacing w:val="20"/>
        </w:rPr>
        <w:br w:type="page"/>
      </w:r>
      <w:r>
        <w:rPr>
          <w:rFonts w:cs="仿宋"/>
          <w:b/>
          <w:bCs/>
          <w:spacing w:val="20"/>
        </w:rPr>
        <w:t>5</w:t>
      </w:r>
      <w:r>
        <w:rPr>
          <w:rFonts w:hint="eastAsia" w:cs="仿宋"/>
          <w:b/>
          <w:bCs/>
          <w:spacing w:val="20"/>
        </w:rPr>
        <w:t>、报价</w:t>
      </w:r>
    </w:p>
    <w:p w14:paraId="1018FAC4">
      <w:pPr>
        <w:spacing w:line="360" w:lineRule="auto"/>
        <w:rPr>
          <w:rFonts w:cs="仿宋"/>
        </w:rPr>
      </w:pPr>
      <w:r>
        <w:rPr>
          <w:rFonts w:hint="eastAsia" w:cs="仿宋"/>
        </w:rPr>
        <w:t>报价说明：</w:t>
      </w:r>
    </w:p>
    <w:p w14:paraId="7AA04313">
      <w:pPr>
        <w:tabs>
          <w:tab w:val="left" w:pos="945"/>
        </w:tabs>
        <w:spacing w:line="360" w:lineRule="auto"/>
        <w:ind w:firstLine="420" w:firstLineChars="200"/>
        <w:rPr>
          <w:rFonts w:cs="仿宋"/>
        </w:rPr>
      </w:pPr>
      <w:r>
        <w:rPr>
          <w:rFonts w:hint="eastAsia" w:cs="仿宋"/>
        </w:rPr>
        <w:t>（1）报价表应按本</w:t>
      </w:r>
      <w:r>
        <w:rPr>
          <w:rFonts w:hint="eastAsia" w:cs="仿宋"/>
          <w:lang w:val="en-US" w:eastAsia="zh-CN"/>
        </w:rPr>
        <w:t>采购</w:t>
      </w:r>
      <w:r>
        <w:rPr>
          <w:rFonts w:hint="eastAsia" w:cs="仿宋"/>
        </w:rPr>
        <w:t>文件规定的格式填写。</w:t>
      </w:r>
    </w:p>
    <w:p w14:paraId="6686D0D4">
      <w:pPr>
        <w:tabs>
          <w:tab w:val="left" w:pos="945"/>
        </w:tabs>
        <w:spacing w:line="360" w:lineRule="auto"/>
        <w:ind w:firstLine="420" w:firstLineChars="200"/>
        <w:rPr>
          <w:rFonts w:cs="仿宋"/>
        </w:rPr>
      </w:pPr>
      <w:r>
        <w:rPr>
          <w:rFonts w:hint="eastAsia" w:cs="仿宋"/>
        </w:rPr>
        <w:t>（2）报价币种为人民币。</w:t>
      </w:r>
    </w:p>
    <w:p w14:paraId="6E26BC60">
      <w:pPr>
        <w:tabs>
          <w:tab w:val="left" w:pos="945"/>
        </w:tabs>
        <w:spacing w:line="360" w:lineRule="auto"/>
        <w:ind w:firstLine="420" w:firstLineChars="200"/>
        <w:rPr>
          <w:rFonts w:cs="仿宋"/>
        </w:rPr>
      </w:pPr>
      <w:r>
        <w:rPr>
          <w:rFonts w:hint="eastAsia" w:cs="仿宋"/>
        </w:rPr>
        <w:t>（3）如果按单价计算的结果与总价不一致，以单价为准修正总价。</w:t>
      </w:r>
    </w:p>
    <w:p w14:paraId="32F3BF16">
      <w:pPr>
        <w:tabs>
          <w:tab w:val="left" w:pos="945"/>
        </w:tabs>
        <w:spacing w:line="360" w:lineRule="auto"/>
        <w:ind w:firstLine="420" w:firstLineChars="200"/>
        <w:rPr>
          <w:rFonts w:cs="仿宋"/>
        </w:rPr>
      </w:pPr>
      <w:r>
        <w:rPr>
          <w:rFonts w:hint="eastAsia" w:cs="仿宋"/>
        </w:rPr>
        <w:t>（4）报价清单中有计算或汇总中的算术错误时，将按</w:t>
      </w:r>
      <w:r>
        <w:rPr>
          <w:rFonts w:hint="eastAsia" w:cs="仿宋"/>
          <w:lang w:val="en-US" w:eastAsia="zh-CN"/>
        </w:rPr>
        <w:t>采购</w:t>
      </w:r>
      <w:r>
        <w:rPr>
          <w:rFonts w:hint="eastAsia" w:cs="仿宋"/>
        </w:rPr>
        <w:t>须知中有关规定执行。</w:t>
      </w:r>
    </w:p>
    <w:p w14:paraId="28B14214">
      <w:pPr>
        <w:tabs>
          <w:tab w:val="left" w:pos="945"/>
        </w:tabs>
        <w:spacing w:line="360" w:lineRule="auto"/>
        <w:ind w:firstLine="420" w:firstLineChars="200"/>
        <w:rPr>
          <w:rFonts w:cs="仿宋"/>
        </w:rPr>
      </w:pPr>
      <w:r>
        <w:rPr>
          <w:rFonts w:hint="eastAsia" w:cs="仿宋"/>
        </w:rPr>
        <w:t>（5）报价中包含货物从工厂运至规定的交货地点的运输费、装卸费、保险费、</w:t>
      </w:r>
      <w:r>
        <w:rPr>
          <w:rFonts w:hint="eastAsia" w:cs="仿宋"/>
          <w:szCs w:val="20"/>
        </w:rPr>
        <w:t>技术培训与服务费</w:t>
      </w:r>
      <w:r>
        <w:rPr>
          <w:rFonts w:hint="eastAsia" w:cs="仿宋"/>
        </w:rPr>
        <w:t>等所有费用。</w:t>
      </w:r>
    </w:p>
    <w:p w14:paraId="7A22A442">
      <w:pPr>
        <w:tabs>
          <w:tab w:val="left" w:pos="945"/>
        </w:tabs>
        <w:spacing w:line="360" w:lineRule="auto"/>
        <w:ind w:firstLine="420" w:firstLineChars="200"/>
        <w:rPr>
          <w:rFonts w:cs="仿宋"/>
        </w:rPr>
      </w:pPr>
      <w:r>
        <w:rPr>
          <w:rFonts w:hint="eastAsia" w:cs="仿宋"/>
        </w:rPr>
        <w:t>（6）本项目为固定总价项目，合同价格包括完成项目所需的各种费用，且在合同执行过程中不作任何调整。</w:t>
      </w:r>
    </w:p>
    <w:p w14:paraId="54922040">
      <w:pPr>
        <w:tabs>
          <w:tab w:val="left" w:pos="945"/>
        </w:tabs>
        <w:spacing w:line="360" w:lineRule="auto"/>
        <w:ind w:firstLine="420" w:firstLineChars="200"/>
        <w:rPr>
          <w:rFonts w:cs="仿宋"/>
        </w:rPr>
      </w:pPr>
      <w:r>
        <w:rPr>
          <w:rFonts w:hint="eastAsia" w:cs="仿宋"/>
        </w:rPr>
        <w:t>（7）若</w:t>
      </w:r>
      <w:r>
        <w:rPr>
          <w:rFonts w:hint="eastAsia" w:cs="仿宋"/>
          <w:lang w:val="en-US" w:eastAsia="zh-CN"/>
        </w:rPr>
        <w:t>供应商</w:t>
      </w:r>
      <w:r>
        <w:rPr>
          <w:rFonts w:hint="eastAsia" w:cs="仿宋"/>
        </w:rPr>
        <w:t>对某些项目未报价，则应认为已包括在总报价内。</w:t>
      </w:r>
    </w:p>
    <w:p w14:paraId="10B88365">
      <w:pPr>
        <w:pStyle w:val="15"/>
        <w:ind w:left="0" w:leftChars="0"/>
        <w:rPr>
          <w:rFonts w:ascii="仿宋" w:hAnsi="仿宋" w:eastAsia="仿宋"/>
          <w:b/>
          <w:sz w:val="28"/>
          <w:szCs w:val="28"/>
        </w:rPr>
      </w:pPr>
      <w:r>
        <w:rPr>
          <w:rFonts w:hint="eastAsia" w:cs="仿宋"/>
        </w:rPr>
        <w:t>（8）</w:t>
      </w:r>
      <w:r>
        <w:rPr>
          <w:rFonts w:cs="仿宋"/>
        </w:rPr>
        <w:t>报价</w:t>
      </w:r>
      <w:r>
        <w:rPr>
          <w:rFonts w:hint="eastAsia" w:cs="仿宋"/>
        </w:rPr>
        <w:t>为</w:t>
      </w:r>
      <w:r>
        <w:rPr>
          <w:rFonts w:cs="仿宋"/>
        </w:rPr>
        <w:t>含</w:t>
      </w:r>
      <w:r>
        <w:rPr>
          <w:rFonts w:hint="eastAsia" w:cs="仿宋"/>
        </w:rPr>
        <w:t>6</w:t>
      </w:r>
      <w:r>
        <w:rPr>
          <w:rFonts w:cs="仿宋"/>
        </w:rPr>
        <w:t>%增值税专用发票价格</w:t>
      </w:r>
      <w:r>
        <w:rPr>
          <w:rFonts w:hint="eastAsia" w:cs="仿宋"/>
        </w:rPr>
        <w:t>（以人民币报价的方式）。</w:t>
      </w:r>
    </w:p>
    <w:p w14:paraId="4B1F1BE4">
      <w:pPr>
        <w:rPr>
          <w:rFonts w:ascii="仿宋" w:hAnsi="仿宋" w:eastAsia="仿宋"/>
          <w:b/>
          <w:sz w:val="28"/>
          <w:szCs w:val="28"/>
        </w:rPr>
      </w:pPr>
      <w:r>
        <w:rPr>
          <w:rFonts w:hint="eastAsia" w:ascii="仿宋" w:hAnsi="仿宋" w:eastAsia="仿宋"/>
          <w:b/>
          <w:sz w:val="28"/>
          <w:szCs w:val="28"/>
        </w:rPr>
        <w:t>附件：</w:t>
      </w:r>
    </w:p>
    <w:p w14:paraId="579FC570">
      <w:pPr>
        <w:spacing w:line="400" w:lineRule="auto"/>
        <w:jc w:val="center"/>
        <w:rPr>
          <w:rFonts w:ascii="仿宋" w:hAnsi="仿宋" w:eastAsia="仿宋"/>
          <w:sz w:val="28"/>
          <w:szCs w:val="28"/>
        </w:rPr>
      </w:pPr>
      <w:r>
        <w:rPr>
          <w:rFonts w:hint="eastAsia" w:ascii="仿宋" w:hAnsi="仿宋" w:eastAsia="仿宋"/>
          <w:sz w:val="28"/>
          <w:szCs w:val="28"/>
        </w:rPr>
        <w:t>《</w:t>
      </w:r>
      <w:r>
        <w:rPr>
          <w:rFonts w:hint="eastAsia" w:ascii="仿宋" w:hAnsi="仿宋" w:eastAsia="仿宋"/>
          <w:bCs/>
          <w:sz w:val="28"/>
          <w:szCs w:val="28"/>
        </w:rPr>
        <w:t>山东</w:t>
      </w:r>
      <w:r>
        <w:rPr>
          <w:rFonts w:hint="eastAsia" w:ascii="仿宋" w:hAnsi="仿宋" w:eastAsia="仿宋"/>
          <w:sz w:val="28"/>
          <w:szCs w:val="28"/>
        </w:rPr>
        <w:t>济钢环保新材料有限公司济南市章丘区官庄弓角湾村南建筑石料用灰岩东矿区安全验收评价》项目报价单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799"/>
        <w:gridCol w:w="1609"/>
        <w:gridCol w:w="1200"/>
        <w:gridCol w:w="1200"/>
      </w:tblGrid>
      <w:tr w14:paraId="3AD3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Align w:val="center"/>
          </w:tcPr>
          <w:p w14:paraId="08BB57F4">
            <w:pPr>
              <w:pStyle w:val="44"/>
              <w:spacing w:line="240" w:lineRule="auto"/>
              <w:ind w:firstLine="0" w:firstLineChars="0"/>
              <w:jc w:val="center"/>
              <w:rPr>
                <w:rFonts w:ascii="宋体" w:hAnsi="宋体"/>
                <w:b/>
                <w:bCs/>
                <w:szCs w:val="24"/>
              </w:rPr>
            </w:pPr>
            <w:r>
              <w:rPr>
                <w:rFonts w:hint="eastAsia" w:ascii="宋体" w:hAnsi="宋体"/>
                <w:szCs w:val="24"/>
              </w:rPr>
              <w:t>项目</w:t>
            </w:r>
          </w:p>
        </w:tc>
        <w:tc>
          <w:tcPr>
            <w:tcW w:w="2799" w:type="dxa"/>
            <w:vAlign w:val="center"/>
          </w:tcPr>
          <w:p w14:paraId="46DB48C0">
            <w:pPr>
              <w:pStyle w:val="44"/>
              <w:spacing w:line="240" w:lineRule="auto"/>
              <w:ind w:firstLine="0" w:firstLineChars="0"/>
              <w:jc w:val="center"/>
              <w:rPr>
                <w:rFonts w:ascii="宋体" w:hAnsi="宋体"/>
                <w:b/>
                <w:bCs/>
                <w:szCs w:val="24"/>
              </w:rPr>
            </w:pPr>
            <w:r>
              <w:rPr>
                <w:rFonts w:hint="eastAsia" w:ascii="宋体" w:hAnsi="宋体"/>
                <w:b/>
                <w:bCs/>
                <w:szCs w:val="24"/>
              </w:rPr>
              <w:t>服务项目</w:t>
            </w:r>
          </w:p>
        </w:tc>
        <w:tc>
          <w:tcPr>
            <w:tcW w:w="1609" w:type="dxa"/>
            <w:vAlign w:val="center"/>
          </w:tcPr>
          <w:p w14:paraId="2DF9E0C9">
            <w:pPr>
              <w:pStyle w:val="44"/>
              <w:spacing w:line="240" w:lineRule="auto"/>
              <w:ind w:firstLine="0" w:firstLineChars="0"/>
              <w:jc w:val="center"/>
              <w:rPr>
                <w:rFonts w:ascii="宋体" w:hAnsi="宋体"/>
                <w:b/>
                <w:bCs/>
                <w:szCs w:val="24"/>
              </w:rPr>
            </w:pPr>
            <w:r>
              <w:rPr>
                <w:rFonts w:hint="eastAsia" w:ascii="宋体" w:hAnsi="宋体"/>
                <w:b/>
                <w:bCs/>
                <w:szCs w:val="24"/>
              </w:rPr>
              <w:t>含税价</w:t>
            </w:r>
          </w:p>
          <w:p w14:paraId="31C95D7A">
            <w:pPr>
              <w:pStyle w:val="44"/>
              <w:spacing w:line="240" w:lineRule="auto"/>
              <w:ind w:firstLine="0" w:firstLineChars="0"/>
              <w:rPr>
                <w:rFonts w:ascii="宋体" w:hAnsi="宋体"/>
                <w:b/>
                <w:bCs/>
                <w:szCs w:val="24"/>
              </w:rPr>
            </w:pPr>
            <w:r>
              <w:rPr>
                <w:rFonts w:hint="eastAsia" w:ascii="宋体" w:hAnsi="宋体"/>
                <w:b/>
                <w:bCs/>
                <w:szCs w:val="24"/>
              </w:rPr>
              <w:t>（税率</w:t>
            </w:r>
            <w:r>
              <w:rPr>
                <w:rFonts w:hint="eastAsia" w:ascii="宋体" w:hAnsi="宋体"/>
                <w:b/>
                <w:bCs/>
                <w:szCs w:val="24"/>
                <w:u w:val="single"/>
              </w:rPr>
              <w:t xml:space="preserve">  </w:t>
            </w:r>
            <w:r>
              <w:rPr>
                <w:rFonts w:hint="eastAsia" w:ascii="宋体" w:hAnsi="宋体"/>
                <w:b/>
                <w:bCs/>
                <w:szCs w:val="24"/>
              </w:rPr>
              <w:t>％）</w:t>
            </w:r>
          </w:p>
        </w:tc>
        <w:tc>
          <w:tcPr>
            <w:tcW w:w="1200" w:type="dxa"/>
            <w:vAlign w:val="center"/>
          </w:tcPr>
          <w:p w14:paraId="44486C07">
            <w:pPr>
              <w:pStyle w:val="44"/>
              <w:spacing w:line="240" w:lineRule="auto"/>
              <w:ind w:firstLine="0" w:firstLineChars="0"/>
              <w:rPr>
                <w:rFonts w:ascii="宋体" w:hAnsi="宋体"/>
                <w:b/>
                <w:bCs/>
                <w:szCs w:val="24"/>
              </w:rPr>
            </w:pPr>
            <w:r>
              <w:rPr>
                <w:rFonts w:hint="eastAsia" w:ascii="宋体" w:hAnsi="宋体"/>
                <w:b/>
                <w:bCs/>
                <w:szCs w:val="24"/>
              </w:rPr>
              <w:t>不含税价</w:t>
            </w:r>
          </w:p>
        </w:tc>
        <w:tc>
          <w:tcPr>
            <w:tcW w:w="1200" w:type="dxa"/>
            <w:vAlign w:val="center"/>
          </w:tcPr>
          <w:p w14:paraId="35D145B5">
            <w:pPr>
              <w:pStyle w:val="44"/>
              <w:spacing w:line="240" w:lineRule="auto"/>
              <w:ind w:firstLine="0" w:firstLineChars="0"/>
              <w:rPr>
                <w:rFonts w:ascii="宋体" w:hAnsi="宋体"/>
                <w:b/>
                <w:bCs/>
                <w:szCs w:val="24"/>
              </w:rPr>
            </w:pPr>
            <w:r>
              <w:rPr>
                <w:rFonts w:hint="eastAsia" w:ascii="宋体" w:hAnsi="宋体"/>
                <w:b/>
                <w:bCs/>
                <w:szCs w:val="24"/>
              </w:rPr>
              <w:t>备注</w:t>
            </w:r>
          </w:p>
        </w:tc>
      </w:tr>
      <w:tr w14:paraId="5235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00" w:type="dxa"/>
            <w:vMerge w:val="restart"/>
            <w:vAlign w:val="center"/>
          </w:tcPr>
          <w:p w14:paraId="2AB17059">
            <w:pPr>
              <w:pStyle w:val="44"/>
              <w:spacing w:line="240" w:lineRule="auto"/>
              <w:ind w:firstLine="0" w:firstLineChars="0"/>
              <w:jc w:val="center"/>
              <w:rPr>
                <w:rFonts w:ascii="等线" w:hAnsi="等线"/>
                <w:sz w:val="28"/>
                <w:szCs w:val="28"/>
              </w:rPr>
            </w:pPr>
            <w:r>
              <w:rPr>
                <w:rFonts w:hint="eastAsia" w:ascii="仿宋" w:hAnsi="仿宋" w:eastAsia="仿宋"/>
                <w:sz w:val="28"/>
                <w:szCs w:val="28"/>
              </w:rPr>
              <w:t>济南市章丘区官庄弓角湾村南建筑石料用灰岩东矿区安全验收评价</w:t>
            </w:r>
          </w:p>
        </w:tc>
        <w:tc>
          <w:tcPr>
            <w:tcW w:w="2799" w:type="dxa"/>
            <w:vAlign w:val="center"/>
          </w:tcPr>
          <w:p w14:paraId="64BDA913">
            <w:pPr>
              <w:adjustRightInd w:val="0"/>
              <w:snapToGrid w:val="0"/>
              <w:jc w:val="center"/>
              <w:rPr>
                <w:rFonts w:ascii="仿宋_GB2312" w:hAnsi="仿宋" w:eastAsia="仿宋_GB2312"/>
                <w:sz w:val="24"/>
              </w:rPr>
            </w:pPr>
            <w:r>
              <w:rPr>
                <w:rFonts w:hint="eastAsia" w:ascii="仿宋_GB2312" w:hAnsi="仿宋" w:eastAsia="仿宋_GB2312"/>
                <w:sz w:val="24"/>
              </w:rPr>
              <w:t>现场打点及现状图测绘、竣工图纸编制（含打印）</w:t>
            </w:r>
          </w:p>
        </w:tc>
        <w:tc>
          <w:tcPr>
            <w:tcW w:w="1609" w:type="dxa"/>
            <w:vAlign w:val="center"/>
          </w:tcPr>
          <w:p w14:paraId="43F41FBD">
            <w:pPr>
              <w:pStyle w:val="44"/>
              <w:spacing w:line="240" w:lineRule="auto"/>
              <w:ind w:firstLine="0" w:firstLineChars="0"/>
              <w:jc w:val="center"/>
              <w:rPr>
                <w:rFonts w:ascii="等线" w:hAnsi="等线"/>
                <w:szCs w:val="24"/>
              </w:rPr>
            </w:pPr>
          </w:p>
        </w:tc>
        <w:tc>
          <w:tcPr>
            <w:tcW w:w="1200" w:type="dxa"/>
            <w:vAlign w:val="center"/>
          </w:tcPr>
          <w:p w14:paraId="6CEE84DD">
            <w:pPr>
              <w:pStyle w:val="44"/>
              <w:spacing w:line="240" w:lineRule="auto"/>
              <w:ind w:firstLine="0" w:firstLineChars="0"/>
              <w:jc w:val="center"/>
              <w:rPr>
                <w:rFonts w:ascii="等线" w:hAnsi="等线"/>
                <w:szCs w:val="24"/>
              </w:rPr>
            </w:pPr>
          </w:p>
        </w:tc>
        <w:tc>
          <w:tcPr>
            <w:tcW w:w="1200" w:type="dxa"/>
            <w:vAlign w:val="center"/>
          </w:tcPr>
          <w:p w14:paraId="517019D6">
            <w:pPr>
              <w:pStyle w:val="44"/>
              <w:spacing w:line="240" w:lineRule="auto"/>
              <w:ind w:firstLine="0" w:firstLineChars="0"/>
              <w:jc w:val="center"/>
              <w:rPr>
                <w:rFonts w:ascii="等线" w:hAnsi="等线"/>
                <w:szCs w:val="24"/>
              </w:rPr>
            </w:pPr>
          </w:p>
        </w:tc>
      </w:tr>
      <w:tr w14:paraId="7E4E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00" w:type="dxa"/>
            <w:vMerge w:val="continue"/>
            <w:vAlign w:val="center"/>
          </w:tcPr>
          <w:p w14:paraId="764CA654">
            <w:pPr>
              <w:pStyle w:val="44"/>
              <w:spacing w:line="240" w:lineRule="auto"/>
              <w:ind w:firstLine="0" w:firstLineChars="0"/>
              <w:jc w:val="center"/>
              <w:rPr>
                <w:rFonts w:ascii="等线" w:hAnsi="等线"/>
                <w:szCs w:val="24"/>
              </w:rPr>
            </w:pPr>
          </w:p>
        </w:tc>
        <w:tc>
          <w:tcPr>
            <w:tcW w:w="2799" w:type="dxa"/>
            <w:vAlign w:val="center"/>
          </w:tcPr>
          <w:p w14:paraId="78FD2BA5">
            <w:pPr>
              <w:adjustRightInd w:val="0"/>
              <w:snapToGrid w:val="0"/>
              <w:jc w:val="center"/>
              <w:rPr>
                <w:rFonts w:ascii="仿宋_GB2312" w:hAnsi="仿宋" w:eastAsia="仿宋_GB2312"/>
                <w:sz w:val="24"/>
              </w:rPr>
            </w:pPr>
            <w:r>
              <w:rPr>
                <w:rFonts w:hint="eastAsia" w:ascii="仿宋_GB2312" w:hAnsi="宋体" w:eastAsia="仿宋_GB2312"/>
                <w:sz w:val="24"/>
              </w:rPr>
              <w:t>安全设施竣工验收评价报告（含专家评审费）</w:t>
            </w:r>
          </w:p>
        </w:tc>
        <w:tc>
          <w:tcPr>
            <w:tcW w:w="1609" w:type="dxa"/>
            <w:vAlign w:val="center"/>
          </w:tcPr>
          <w:p w14:paraId="07DA2093">
            <w:pPr>
              <w:pStyle w:val="44"/>
              <w:spacing w:line="240" w:lineRule="auto"/>
              <w:ind w:firstLine="0" w:firstLineChars="0"/>
              <w:jc w:val="center"/>
              <w:rPr>
                <w:rFonts w:ascii="等线" w:hAnsi="等线"/>
                <w:szCs w:val="24"/>
              </w:rPr>
            </w:pPr>
          </w:p>
        </w:tc>
        <w:tc>
          <w:tcPr>
            <w:tcW w:w="1200" w:type="dxa"/>
            <w:vAlign w:val="center"/>
          </w:tcPr>
          <w:p w14:paraId="0419D042">
            <w:pPr>
              <w:pStyle w:val="44"/>
              <w:spacing w:line="240" w:lineRule="auto"/>
              <w:ind w:firstLine="0" w:firstLineChars="0"/>
              <w:jc w:val="center"/>
              <w:rPr>
                <w:rFonts w:ascii="等线" w:hAnsi="等线"/>
                <w:szCs w:val="24"/>
              </w:rPr>
            </w:pPr>
          </w:p>
        </w:tc>
        <w:tc>
          <w:tcPr>
            <w:tcW w:w="1200" w:type="dxa"/>
            <w:vAlign w:val="center"/>
          </w:tcPr>
          <w:p w14:paraId="53FB1C9A">
            <w:pPr>
              <w:pStyle w:val="44"/>
              <w:spacing w:line="240" w:lineRule="auto"/>
              <w:ind w:firstLine="0" w:firstLineChars="0"/>
              <w:jc w:val="center"/>
              <w:rPr>
                <w:rFonts w:ascii="等线" w:hAnsi="等线"/>
                <w:szCs w:val="24"/>
              </w:rPr>
            </w:pPr>
            <w:r>
              <w:rPr>
                <w:rFonts w:hint="eastAsia" w:ascii="仿宋_GB2312" w:hAnsi="宋体" w:eastAsia="仿宋_GB2312"/>
              </w:rPr>
              <w:t>明确专家评审费</w:t>
            </w:r>
          </w:p>
        </w:tc>
      </w:tr>
      <w:tr w14:paraId="599D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00" w:type="dxa"/>
            <w:vMerge w:val="continue"/>
            <w:vAlign w:val="center"/>
          </w:tcPr>
          <w:p w14:paraId="463EF9EA">
            <w:pPr>
              <w:pStyle w:val="44"/>
              <w:spacing w:line="240" w:lineRule="auto"/>
              <w:ind w:firstLine="0" w:firstLineChars="0"/>
              <w:jc w:val="center"/>
              <w:rPr>
                <w:rFonts w:ascii="等线" w:hAnsi="等线"/>
                <w:szCs w:val="24"/>
              </w:rPr>
            </w:pPr>
          </w:p>
        </w:tc>
        <w:tc>
          <w:tcPr>
            <w:tcW w:w="2799" w:type="dxa"/>
            <w:vAlign w:val="center"/>
          </w:tcPr>
          <w:p w14:paraId="2280506C">
            <w:pPr>
              <w:adjustRightInd w:val="0"/>
              <w:snapToGrid w:val="0"/>
              <w:jc w:val="center"/>
              <w:rPr>
                <w:rFonts w:ascii="仿宋_GB2312" w:hAnsi="仿宋" w:eastAsia="仿宋_GB2312"/>
                <w:sz w:val="24"/>
              </w:rPr>
            </w:pPr>
            <w:r>
              <w:rPr>
                <w:rFonts w:hint="eastAsia" w:ascii="仿宋_GB2312" w:hAnsi="仿宋" w:eastAsia="仿宋_GB2312"/>
                <w:sz w:val="24"/>
              </w:rPr>
              <w:t>安许证发证现场审查</w:t>
            </w:r>
          </w:p>
          <w:p w14:paraId="258457CE">
            <w:pPr>
              <w:adjustRightInd w:val="0"/>
              <w:snapToGrid w:val="0"/>
              <w:jc w:val="center"/>
              <w:rPr>
                <w:rFonts w:ascii="仿宋_GB2312" w:hAnsi="仿宋" w:eastAsia="仿宋_GB2312"/>
                <w:sz w:val="24"/>
              </w:rPr>
            </w:pPr>
            <w:r>
              <w:rPr>
                <w:rFonts w:hint="eastAsia" w:ascii="仿宋_GB2312" w:hAnsi="仿宋" w:eastAsia="仿宋_GB2312"/>
                <w:sz w:val="24"/>
              </w:rPr>
              <w:t>（含专家费）</w:t>
            </w:r>
          </w:p>
        </w:tc>
        <w:tc>
          <w:tcPr>
            <w:tcW w:w="1609" w:type="dxa"/>
            <w:vAlign w:val="center"/>
          </w:tcPr>
          <w:p w14:paraId="703CCD0A">
            <w:pPr>
              <w:pStyle w:val="44"/>
              <w:spacing w:line="240" w:lineRule="auto"/>
              <w:ind w:firstLine="0" w:firstLineChars="0"/>
              <w:jc w:val="center"/>
              <w:rPr>
                <w:rFonts w:ascii="等线" w:hAnsi="等线"/>
                <w:szCs w:val="24"/>
              </w:rPr>
            </w:pPr>
          </w:p>
        </w:tc>
        <w:tc>
          <w:tcPr>
            <w:tcW w:w="1200" w:type="dxa"/>
            <w:vAlign w:val="center"/>
          </w:tcPr>
          <w:p w14:paraId="4AD29C68">
            <w:pPr>
              <w:pStyle w:val="44"/>
              <w:spacing w:line="240" w:lineRule="auto"/>
              <w:ind w:firstLine="0" w:firstLineChars="0"/>
              <w:jc w:val="center"/>
              <w:rPr>
                <w:rFonts w:ascii="等线" w:hAnsi="等线"/>
                <w:szCs w:val="24"/>
              </w:rPr>
            </w:pPr>
          </w:p>
        </w:tc>
        <w:tc>
          <w:tcPr>
            <w:tcW w:w="1200" w:type="dxa"/>
            <w:vAlign w:val="center"/>
          </w:tcPr>
          <w:p w14:paraId="2F0FEC67">
            <w:pPr>
              <w:pStyle w:val="44"/>
              <w:spacing w:line="240" w:lineRule="auto"/>
              <w:ind w:firstLine="0" w:firstLineChars="0"/>
              <w:jc w:val="center"/>
              <w:rPr>
                <w:rFonts w:ascii="等线" w:hAnsi="等线"/>
                <w:szCs w:val="24"/>
              </w:rPr>
            </w:pPr>
            <w:r>
              <w:rPr>
                <w:rFonts w:hint="eastAsia" w:ascii="仿宋_GB2312" w:hAnsi="宋体" w:eastAsia="仿宋_GB2312"/>
              </w:rPr>
              <w:t>明确专家费</w:t>
            </w:r>
          </w:p>
        </w:tc>
      </w:tr>
      <w:tr w14:paraId="0856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00" w:type="dxa"/>
            <w:vMerge w:val="continue"/>
            <w:vAlign w:val="center"/>
          </w:tcPr>
          <w:p w14:paraId="2D9E4B2C">
            <w:pPr>
              <w:pStyle w:val="44"/>
              <w:spacing w:line="240" w:lineRule="auto"/>
              <w:ind w:firstLine="0" w:firstLineChars="0"/>
              <w:jc w:val="center"/>
              <w:rPr>
                <w:rFonts w:ascii="等线" w:hAnsi="等线"/>
                <w:szCs w:val="24"/>
              </w:rPr>
            </w:pPr>
          </w:p>
        </w:tc>
        <w:tc>
          <w:tcPr>
            <w:tcW w:w="2799" w:type="dxa"/>
            <w:vAlign w:val="center"/>
          </w:tcPr>
          <w:p w14:paraId="152BB3BF">
            <w:pPr>
              <w:adjustRightInd w:val="0"/>
              <w:snapToGrid w:val="0"/>
              <w:jc w:val="center"/>
              <w:rPr>
                <w:rFonts w:ascii="仿宋" w:hAnsi="仿宋" w:eastAsia="仿宋"/>
                <w:sz w:val="28"/>
                <w:szCs w:val="28"/>
              </w:rPr>
            </w:pPr>
            <w:r>
              <w:rPr>
                <w:rFonts w:ascii="仿宋" w:hAnsi="仿宋" w:eastAsia="仿宋"/>
                <w:sz w:val="28"/>
                <w:szCs w:val="28"/>
              </w:rPr>
              <w:t>…</w:t>
            </w:r>
          </w:p>
        </w:tc>
        <w:tc>
          <w:tcPr>
            <w:tcW w:w="1609" w:type="dxa"/>
            <w:vAlign w:val="center"/>
          </w:tcPr>
          <w:p w14:paraId="7AEDDF75">
            <w:pPr>
              <w:pStyle w:val="44"/>
              <w:spacing w:line="240" w:lineRule="auto"/>
              <w:ind w:firstLine="0" w:firstLineChars="0"/>
              <w:jc w:val="center"/>
              <w:rPr>
                <w:rFonts w:ascii="等线" w:hAnsi="等线"/>
                <w:szCs w:val="24"/>
              </w:rPr>
            </w:pPr>
          </w:p>
        </w:tc>
        <w:tc>
          <w:tcPr>
            <w:tcW w:w="1200" w:type="dxa"/>
            <w:vAlign w:val="center"/>
          </w:tcPr>
          <w:p w14:paraId="1B7A58DE">
            <w:pPr>
              <w:pStyle w:val="44"/>
              <w:spacing w:line="240" w:lineRule="auto"/>
              <w:ind w:firstLine="0" w:firstLineChars="0"/>
              <w:jc w:val="center"/>
              <w:rPr>
                <w:rFonts w:ascii="等线" w:hAnsi="等线"/>
                <w:szCs w:val="24"/>
              </w:rPr>
            </w:pPr>
          </w:p>
        </w:tc>
        <w:tc>
          <w:tcPr>
            <w:tcW w:w="1200" w:type="dxa"/>
            <w:vAlign w:val="center"/>
          </w:tcPr>
          <w:p w14:paraId="1DD4CF7F">
            <w:pPr>
              <w:pStyle w:val="44"/>
              <w:spacing w:line="240" w:lineRule="auto"/>
              <w:ind w:firstLine="0" w:firstLineChars="0"/>
              <w:jc w:val="center"/>
              <w:rPr>
                <w:rFonts w:ascii="等线" w:hAnsi="等线"/>
                <w:szCs w:val="24"/>
              </w:rPr>
            </w:pPr>
          </w:p>
        </w:tc>
      </w:tr>
      <w:tr w14:paraId="726D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00" w:type="dxa"/>
            <w:vMerge w:val="continue"/>
            <w:vAlign w:val="center"/>
          </w:tcPr>
          <w:p w14:paraId="54688A08">
            <w:pPr>
              <w:pStyle w:val="44"/>
              <w:spacing w:line="240" w:lineRule="auto"/>
              <w:ind w:firstLine="0" w:firstLineChars="0"/>
              <w:jc w:val="center"/>
              <w:rPr>
                <w:rFonts w:ascii="等线" w:hAnsi="等线"/>
                <w:szCs w:val="24"/>
              </w:rPr>
            </w:pPr>
          </w:p>
        </w:tc>
        <w:tc>
          <w:tcPr>
            <w:tcW w:w="2799" w:type="dxa"/>
            <w:vAlign w:val="center"/>
          </w:tcPr>
          <w:p w14:paraId="0E2A309F">
            <w:pPr>
              <w:adjustRightInd w:val="0"/>
              <w:snapToGrid w:val="0"/>
              <w:jc w:val="center"/>
              <w:rPr>
                <w:rFonts w:ascii="仿宋" w:hAnsi="仿宋" w:eastAsia="仿宋"/>
                <w:sz w:val="28"/>
                <w:szCs w:val="28"/>
              </w:rPr>
            </w:pPr>
            <w:r>
              <w:rPr>
                <w:rFonts w:ascii="仿宋" w:hAnsi="仿宋" w:eastAsia="仿宋"/>
                <w:sz w:val="28"/>
                <w:szCs w:val="28"/>
              </w:rPr>
              <w:t>…</w:t>
            </w:r>
          </w:p>
        </w:tc>
        <w:tc>
          <w:tcPr>
            <w:tcW w:w="1609" w:type="dxa"/>
            <w:vAlign w:val="center"/>
          </w:tcPr>
          <w:p w14:paraId="7863946D">
            <w:pPr>
              <w:pStyle w:val="44"/>
              <w:spacing w:line="240" w:lineRule="auto"/>
              <w:ind w:firstLine="0" w:firstLineChars="0"/>
              <w:jc w:val="center"/>
              <w:rPr>
                <w:rFonts w:ascii="等线" w:hAnsi="等线"/>
                <w:szCs w:val="24"/>
              </w:rPr>
            </w:pPr>
          </w:p>
        </w:tc>
        <w:tc>
          <w:tcPr>
            <w:tcW w:w="1200" w:type="dxa"/>
            <w:vAlign w:val="center"/>
          </w:tcPr>
          <w:p w14:paraId="50D34540">
            <w:pPr>
              <w:pStyle w:val="44"/>
              <w:spacing w:line="240" w:lineRule="auto"/>
              <w:ind w:firstLine="0" w:firstLineChars="0"/>
              <w:jc w:val="center"/>
              <w:rPr>
                <w:rFonts w:ascii="等线" w:hAnsi="等线"/>
                <w:szCs w:val="24"/>
              </w:rPr>
            </w:pPr>
          </w:p>
        </w:tc>
        <w:tc>
          <w:tcPr>
            <w:tcW w:w="1200" w:type="dxa"/>
            <w:vAlign w:val="center"/>
          </w:tcPr>
          <w:p w14:paraId="282838B9">
            <w:pPr>
              <w:pStyle w:val="44"/>
              <w:spacing w:line="240" w:lineRule="auto"/>
              <w:ind w:firstLine="0" w:firstLineChars="0"/>
              <w:jc w:val="center"/>
              <w:rPr>
                <w:rFonts w:ascii="等线" w:hAnsi="等线"/>
                <w:szCs w:val="24"/>
              </w:rPr>
            </w:pPr>
          </w:p>
        </w:tc>
      </w:tr>
      <w:tr w14:paraId="6E0D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00" w:type="dxa"/>
            <w:vAlign w:val="center"/>
          </w:tcPr>
          <w:p w14:paraId="7C122DD9">
            <w:pPr>
              <w:pStyle w:val="44"/>
              <w:spacing w:line="240" w:lineRule="auto"/>
              <w:ind w:firstLine="0" w:firstLineChars="0"/>
              <w:jc w:val="center"/>
              <w:rPr>
                <w:rFonts w:ascii="等线" w:hAnsi="等线"/>
                <w:szCs w:val="24"/>
              </w:rPr>
            </w:pPr>
            <w:r>
              <w:rPr>
                <w:rFonts w:hint="eastAsia" w:ascii="等线" w:hAnsi="等线"/>
                <w:szCs w:val="24"/>
              </w:rPr>
              <w:t>总计</w:t>
            </w:r>
          </w:p>
        </w:tc>
        <w:tc>
          <w:tcPr>
            <w:tcW w:w="2799" w:type="dxa"/>
            <w:vAlign w:val="center"/>
          </w:tcPr>
          <w:p w14:paraId="45A0F2FD">
            <w:pPr>
              <w:jc w:val="center"/>
              <w:rPr>
                <w:rFonts w:ascii="Times New Roman" w:hAnsi="Times New Roman"/>
                <w:sz w:val="24"/>
              </w:rPr>
            </w:pPr>
          </w:p>
        </w:tc>
        <w:tc>
          <w:tcPr>
            <w:tcW w:w="1609" w:type="dxa"/>
            <w:vAlign w:val="center"/>
          </w:tcPr>
          <w:p w14:paraId="396E4AEB">
            <w:pPr>
              <w:pStyle w:val="44"/>
              <w:spacing w:line="240" w:lineRule="auto"/>
              <w:ind w:firstLine="0" w:firstLineChars="0"/>
              <w:jc w:val="center"/>
              <w:rPr>
                <w:rFonts w:ascii="等线" w:hAnsi="等线"/>
                <w:szCs w:val="24"/>
              </w:rPr>
            </w:pPr>
          </w:p>
        </w:tc>
        <w:tc>
          <w:tcPr>
            <w:tcW w:w="1200" w:type="dxa"/>
            <w:vAlign w:val="center"/>
          </w:tcPr>
          <w:p w14:paraId="0E365A3E">
            <w:pPr>
              <w:pStyle w:val="44"/>
              <w:spacing w:line="240" w:lineRule="auto"/>
              <w:ind w:firstLine="0" w:firstLineChars="0"/>
              <w:jc w:val="center"/>
              <w:rPr>
                <w:rFonts w:ascii="等线" w:hAnsi="等线"/>
                <w:szCs w:val="24"/>
              </w:rPr>
            </w:pPr>
          </w:p>
        </w:tc>
        <w:tc>
          <w:tcPr>
            <w:tcW w:w="1200" w:type="dxa"/>
            <w:vAlign w:val="center"/>
          </w:tcPr>
          <w:p w14:paraId="2D137BDA">
            <w:pPr>
              <w:pStyle w:val="44"/>
              <w:spacing w:line="240" w:lineRule="auto"/>
              <w:ind w:firstLine="0" w:firstLineChars="0"/>
              <w:jc w:val="center"/>
              <w:rPr>
                <w:rFonts w:ascii="等线" w:hAnsi="等线"/>
                <w:szCs w:val="24"/>
              </w:rPr>
            </w:pPr>
          </w:p>
        </w:tc>
      </w:tr>
    </w:tbl>
    <w:p w14:paraId="1EDBCA73">
      <w:pPr>
        <w:jc w:val="left"/>
      </w:pPr>
      <w:r>
        <w:rPr>
          <w:rFonts w:hint="eastAsia" w:ascii="仿宋" w:hAnsi="仿宋" w:eastAsia="仿宋"/>
          <w:sz w:val="28"/>
          <w:szCs w:val="28"/>
        </w:rPr>
        <w:t>备注：本次报价费用包含图纸绘制及打印费、安全验收评价报告编制费、专家费、税金、其他费用等。</w:t>
      </w:r>
    </w:p>
    <w:p w14:paraId="7C43C80E">
      <w:pPr>
        <w:spacing w:line="560" w:lineRule="exact"/>
        <w:jc w:val="center"/>
        <w:rPr>
          <w:rFonts w:ascii="仿宋" w:hAnsi="仿宋" w:eastAsia="仿宋"/>
          <w:sz w:val="28"/>
          <w:szCs w:val="28"/>
        </w:rPr>
      </w:pPr>
      <w:r>
        <w:rPr>
          <w:rFonts w:hint="eastAsia" w:ascii="仿宋" w:hAnsi="仿宋" w:eastAsia="仿宋"/>
          <w:sz w:val="28"/>
          <w:szCs w:val="28"/>
        </w:rPr>
        <w:t xml:space="preserve">         单位名称：（盖章）</w:t>
      </w:r>
    </w:p>
    <w:p w14:paraId="73BE6F69">
      <w:pPr>
        <w:spacing w:line="560" w:lineRule="exact"/>
        <w:jc w:val="center"/>
        <w:rPr>
          <w:rFonts w:ascii="仿宋" w:hAnsi="仿宋" w:eastAsia="仿宋"/>
          <w:sz w:val="28"/>
          <w:szCs w:val="28"/>
        </w:rPr>
      </w:pPr>
      <w:r>
        <w:rPr>
          <w:rFonts w:hint="eastAsia" w:ascii="仿宋" w:hAnsi="仿宋" w:eastAsia="仿宋"/>
          <w:sz w:val="28"/>
          <w:szCs w:val="28"/>
        </w:rPr>
        <w:t xml:space="preserve">                          法定代表人或授权代表：（盖章或签章）</w:t>
      </w:r>
    </w:p>
    <w:p w14:paraId="50FF62EC">
      <w:pPr>
        <w:spacing w:line="560" w:lineRule="exact"/>
        <w:jc w:val="center"/>
        <w:rPr>
          <w:rFonts w:ascii="仿宋" w:hAnsi="仿宋" w:eastAsia="仿宋"/>
          <w:sz w:val="28"/>
          <w:szCs w:val="28"/>
        </w:rPr>
      </w:pPr>
      <w:r>
        <w:rPr>
          <w:rFonts w:hint="eastAsia" w:ascii="仿宋" w:hAnsi="仿宋" w:eastAsia="仿宋"/>
          <w:sz w:val="28"/>
          <w:szCs w:val="28"/>
        </w:rPr>
        <w:t xml:space="preserve">          日期：</w:t>
      </w:r>
    </w:p>
    <w:p w14:paraId="355A4173">
      <w:pPr>
        <w:pStyle w:val="27"/>
        <w:rPr>
          <w:rFonts w:ascii="仿宋" w:hAnsi="仿宋" w:eastAsia="仿宋"/>
          <w:color w:val="auto"/>
          <w:sz w:val="28"/>
          <w:szCs w:val="28"/>
        </w:rPr>
      </w:pPr>
    </w:p>
    <w:p w14:paraId="7D98E17C">
      <w:pPr>
        <w:pStyle w:val="35"/>
        <w:rPr>
          <w:rFonts w:asciiTheme="minorEastAsia" w:hAnsiTheme="minorEastAsia" w:eastAsiaTheme="minorEastAsia"/>
        </w:rPr>
      </w:pPr>
      <w:r>
        <w:rPr>
          <w:rFonts w:hint="eastAsia" w:asciiTheme="minorEastAsia" w:hAnsiTheme="minorEastAsia" w:eastAsiaTheme="minorEastAsia"/>
        </w:rPr>
        <w:t>6、服务保障方案</w:t>
      </w:r>
    </w:p>
    <w:p w14:paraId="5F0200C8">
      <w:pPr>
        <w:pStyle w:val="35"/>
        <w:tabs>
          <w:tab w:val="clear" w:pos="851"/>
        </w:tabs>
        <w:ind w:left="0" w:firstLine="480" w:firstLineChars="200"/>
        <w:rPr>
          <w:rFonts w:asciiTheme="minorEastAsia" w:hAnsiTheme="minorEastAsia" w:eastAsiaTheme="minorEastAsia"/>
        </w:rPr>
      </w:pPr>
      <w:r>
        <w:rPr>
          <w:rFonts w:hint="eastAsia" w:asciiTheme="minorEastAsia" w:hAnsiTheme="minorEastAsia" w:eastAsiaTheme="minorEastAsia"/>
        </w:rPr>
        <w:t>为了确保项目顺利完成，需</w:t>
      </w:r>
      <w:r>
        <w:rPr>
          <w:rFonts w:hint="eastAsia" w:asciiTheme="minorEastAsia" w:hAnsiTheme="minorEastAsia" w:eastAsiaTheme="minorEastAsia"/>
          <w:lang w:val="en-US" w:eastAsia="zh-CN"/>
        </w:rPr>
        <w:t>供应商</w:t>
      </w:r>
      <w:r>
        <w:rPr>
          <w:rFonts w:hint="eastAsia" w:asciiTheme="minorEastAsia" w:hAnsiTheme="minorEastAsia" w:eastAsiaTheme="minorEastAsia"/>
        </w:rPr>
        <w:t>提供在项目实施过程中的工期安排及技术服务人员的分工、工作计划、现场安全措施、工作配合需求等内容的一套服务保障方案。（签盖公章）</w:t>
      </w:r>
    </w:p>
    <w:p w14:paraId="4EAA25FA">
      <w:pPr>
        <w:widowControl/>
        <w:jc w:val="left"/>
      </w:pPr>
    </w:p>
    <w:p w14:paraId="76F1C2A5">
      <w:pPr>
        <w:widowControl/>
        <w:jc w:val="left"/>
      </w:pPr>
    </w:p>
    <w:p w14:paraId="741D44AE">
      <w:pPr>
        <w:widowControl/>
        <w:jc w:val="left"/>
      </w:pPr>
      <w:r>
        <w:rPr>
          <w:rFonts w:hint="eastAsia"/>
        </w:rPr>
        <w:t>7、商务偏差表</w:t>
      </w:r>
    </w:p>
    <w:p w14:paraId="6A480093">
      <w:pPr>
        <w:spacing w:line="360" w:lineRule="auto"/>
        <w:jc w:val="center"/>
        <w:rPr>
          <w:rFonts w:cs="仿宋"/>
          <w:b/>
        </w:rPr>
      </w:pPr>
      <w:r>
        <w:rPr>
          <w:rFonts w:hint="eastAsia" w:cs="仿宋"/>
          <w:b/>
        </w:rPr>
        <w:t>商务偏差表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1331"/>
        <w:gridCol w:w="992"/>
        <w:gridCol w:w="2551"/>
        <w:gridCol w:w="1985"/>
        <w:gridCol w:w="1417"/>
      </w:tblGrid>
      <w:tr w14:paraId="6C023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14:paraId="09111AF1">
            <w:pPr>
              <w:overflowPunct w:val="0"/>
              <w:topLinePunct/>
              <w:spacing w:line="360" w:lineRule="auto"/>
              <w:ind w:right="14"/>
              <w:jc w:val="center"/>
              <w:rPr>
                <w:rFonts w:ascii="仿宋" w:hAnsi="仿宋" w:eastAsia="仿宋" w:cs="仿宋"/>
                <w:position w:val="-9"/>
              </w:rPr>
            </w:pPr>
            <w:r>
              <w:rPr>
                <w:rFonts w:hint="eastAsia" w:ascii="仿宋" w:hAnsi="仿宋" w:eastAsia="仿宋" w:cs="仿宋"/>
                <w:position w:val="-9"/>
              </w:rPr>
              <w:t>商务偏差</w:t>
            </w:r>
          </w:p>
        </w:tc>
        <w:tc>
          <w:tcPr>
            <w:tcW w:w="1331" w:type="dxa"/>
            <w:tcBorders>
              <w:top w:val="single" w:color="000000" w:sz="4" w:space="0"/>
              <w:left w:val="single" w:color="000000" w:sz="4" w:space="0"/>
              <w:bottom w:val="single" w:color="000000" w:sz="4" w:space="0"/>
              <w:right w:val="single" w:color="000000" w:sz="4" w:space="0"/>
            </w:tcBorders>
            <w:vAlign w:val="center"/>
          </w:tcPr>
          <w:p w14:paraId="488F8F02">
            <w:pPr>
              <w:overflowPunct w:val="0"/>
              <w:topLinePunct/>
              <w:spacing w:line="360" w:lineRule="auto"/>
              <w:ind w:right="14"/>
              <w:jc w:val="center"/>
              <w:rPr>
                <w:rFonts w:ascii="仿宋" w:hAnsi="仿宋" w:eastAsia="仿宋" w:cs="仿宋"/>
                <w:position w:val="-9"/>
              </w:rPr>
            </w:pPr>
            <w:r>
              <w:rPr>
                <w:rFonts w:hint="eastAsia" w:ascii="仿宋" w:hAnsi="仿宋" w:eastAsia="仿宋" w:cs="仿宋"/>
                <w:position w:val="-9"/>
              </w:rPr>
              <w:t>条目</w:t>
            </w:r>
          </w:p>
        </w:tc>
        <w:tc>
          <w:tcPr>
            <w:tcW w:w="992" w:type="dxa"/>
            <w:tcBorders>
              <w:top w:val="single" w:color="000000" w:sz="4" w:space="0"/>
              <w:left w:val="single" w:color="000000" w:sz="4" w:space="0"/>
              <w:bottom w:val="single" w:color="000000" w:sz="4" w:space="0"/>
              <w:right w:val="single" w:color="000000" w:sz="4" w:space="0"/>
            </w:tcBorders>
            <w:vAlign w:val="center"/>
          </w:tcPr>
          <w:p w14:paraId="50DCECD8">
            <w:pPr>
              <w:overflowPunct w:val="0"/>
              <w:topLinePunct/>
              <w:spacing w:line="360" w:lineRule="auto"/>
              <w:ind w:right="14"/>
              <w:jc w:val="center"/>
              <w:rPr>
                <w:rFonts w:ascii="仿宋" w:hAnsi="仿宋" w:eastAsia="仿宋" w:cs="仿宋"/>
                <w:position w:val="-9"/>
              </w:rPr>
            </w:pPr>
            <w:r>
              <w:rPr>
                <w:rFonts w:hint="eastAsia" w:ascii="仿宋" w:hAnsi="仿宋" w:eastAsia="仿宋" w:cs="仿宋"/>
                <w:position w:val="-9"/>
              </w:rPr>
              <w:t>页码</w:t>
            </w:r>
          </w:p>
        </w:tc>
        <w:tc>
          <w:tcPr>
            <w:tcW w:w="2551" w:type="dxa"/>
            <w:tcBorders>
              <w:top w:val="single" w:color="000000" w:sz="4" w:space="0"/>
              <w:left w:val="single" w:color="000000" w:sz="4" w:space="0"/>
              <w:bottom w:val="single" w:color="000000" w:sz="4" w:space="0"/>
              <w:right w:val="single" w:color="000000" w:sz="4" w:space="0"/>
            </w:tcBorders>
            <w:vAlign w:val="center"/>
          </w:tcPr>
          <w:p w14:paraId="68E7033C">
            <w:pPr>
              <w:overflowPunct w:val="0"/>
              <w:topLinePunct/>
              <w:spacing w:line="360" w:lineRule="auto"/>
              <w:ind w:right="14"/>
              <w:jc w:val="center"/>
              <w:rPr>
                <w:rFonts w:ascii="仿宋" w:hAnsi="仿宋" w:eastAsia="仿宋" w:cs="仿宋"/>
                <w:position w:val="-9"/>
              </w:rPr>
            </w:pPr>
            <w:r>
              <w:rPr>
                <w:rFonts w:hint="eastAsia" w:ascii="仿宋" w:hAnsi="仿宋" w:eastAsia="仿宋" w:cs="仿宋"/>
                <w:position w:val="-9"/>
              </w:rPr>
              <w:t>谈判文件规定</w:t>
            </w:r>
          </w:p>
        </w:tc>
        <w:tc>
          <w:tcPr>
            <w:tcW w:w="1985" w:type="dxa"/>
            <w:tcBorders>
              <w:top w:val="single" w:color="000000" w:sz="4" w:space="0"/>
              <w:left w:val="single" w:color="000000" w:sz="4" w:space="0"/>
              <w:bottom w:val="single" w:color="000000" w:sz="4" w:space="0"/>
              <w:right w:val="single" w:color="000000" w:sz="4" w:space="0"/>
            </w:tcBorders>
            <w:vAlign w:val="center"/>
          </w:tcPr>
          <w:p w14:paraId="5F1BECE2">
            <w:pPr>
              <w:overflowPunct w:val="0"/>
              <w:topLinePunct/>
              <w:spacing w:line="360" w:lineRule="auto"/>
              <w:ind w:right="14"/>
              <w:jc w:val="center"/>
              <w:rPr>
                <w:rFonts w:ascii="仿宋" w:hAnsi="仿宋" w:eastAsia="仿宋" w:cs="仿宋"/>
                <w:position w:val="-9"/>
              </w:rPr>
            </w:pPr>
            <w:r>
              <w:rPr>
                <w:rFonts w:hint="eastAsia" w:ascii="仿宋" w:hAnsi="仿宋" w:eastAsia="仿宋" w:cs="仿宋"/>
                <w:position w:val="-9"/>
              </w:rPr>
              <w:t>偏差</w:t>
            </w:r>
          </w:p>
        </w:tc>
        <w:tc>
          <w:tcPr>
            <w:tcW w:w="1417" w:type="dxa"/>
            <w:tcBorders>
              <w:top w:val="single" w:color="000000" w:sz="4" w:space="0"/>
              <w:left w:val="single" w:color="000000" w:sz="4" w:space="0"/>
              <w:bottom w:val="single" w:color="000000" w:sz="4" w:space="0"/>
              <w:right w:val="single" w:color="000000" w:sz="4" w:space="0"/>
            </w:tcBorders>
            <w:vAlign w:val="center"/>
          </w:tcPr>
          <w:p w14:paraId="4490369C">
            <w:pPr>
              <w:overflowPunct w:val="0"/>
              <w:topLinePunct/>
              <w:spacing w:line="360" w:lineRule="auto"/>
              <w:ind w:right="14"/>
              <w:jc w:val="center"/>
              <w:rPr>
                <w:rFonts w:ascii="仿宋" w:hAnsi="仿宋" w:eastAsia="仿宋" w:cs="仿宋"/>
                <w:position w:val="-9"/>
              </w:rPr>
            </w:pPr>
            <w:r>
              <w:rPr>
                <w:rFonts w:hint="eastAsia" w:ascii="仿宋" w:hAnsi="仿宋" w:eastAsia="仿宋" w:cs="仿宋"/>
                <w:position w:val="-9"/>
              </w:rPr>
              <w:t>备注</w:t>
            </w:r>
          </w:p>
        </w:tc>
      </w:tr>
      <w:tr w14:paraId="39BAC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14:paraId="0AD4EF69">
            <w:pPr>
              <w:spacing w:line="360" w:lineRule="auto"/>
              <w:rPr>
                <w:rFonts w:ascii="仿宋" w:hAnsi="仿宋" w:eastAsia="仿宋" w:cs="仿宋"/>
                <w:position w:val="-9"/>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59B061EF">
            <w:pPr>
              <w:overflowPunct w:val="0"/>
              <w:topLinePunct/>
              <w:spacing w:line="360" w:lineRule="auto"/>
              <w:ind w:right="14"/>
              <w:jc w:val="center"/>
              <w:rPr>
                <w:rFonts w:ascii="仿宋" w:hAnsi="仿宋" w:eastAsia="仿宋" w:cs="仿宋"/>
                <w:position w:val="-9"/>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F2F4100">
            <w:pPr>
              <w:overflowPunct w:val="0"/>
              <w:topLinePunct/>
              <w:spacing w:line="360" w:lineRule="auto"/>
              <w:ind w:right="14"/>
              <w:jc w:val="center"/>
              <w:rPr>
                <w:rFonts w:ascii="仿宋" w:hAnsi="仿宋" w:eastAsia="仿宋" w:cs="仿宋"/>
                <w:position w:val="-9"/>
              </w:rPr>
            </w:pPr>
          </w:p>
        </w:tc>
        <w:tc>
          <w:tcPr>
            <w:tcW w:w="2551" w:type="dxa"/>
            <w:tcBorders>
              <w:top w:val="single" w:color="000000" w:sz="4" w:space="0"/>
              <w:left w:val="single" w:color="000000" w:sz="4" w:space="0"/>
              <w:bottom w:val="single" w:color="000000" w:sz="4" w:space="0"/>
              <w:right w:val="single" w:color="000000" w:sz="4" w:space="0"/>
            </w:tcBorders>
            <w:vAlign w:val="center"/>
          </w:tcPr>
          <w:p w14:paraId="207272FC">
            <w:pPr>
              <w:overflowPunct w:val="0"/>
              <w:topLinePunct/>
              <w:spacing w:line="360" w:lineRule="auto"/>
              <w:ind w:right="14"/>
              <w:jc w:val="center"/>
              <w:rPr>
                <w:rFonts w:ascii="仿宋" w:hAnsi="仿宋" w:eastAsia="仿宋" w:cs="仿宋"/>
                <w:position w:val="-9"/>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4351C708">
            <w:pPr>
              <w:overflowPunct w:val="0"/>
              <w:topLinePunct/>
              <w:spacing w:line="360" w:lineRule="auto"/>
              <w:ind w:right="14"/>
              <w:jc w:val="center"/>
              <w:rPr>
                <w:rFonts w:ascii="仿宋" w:hAnsi="仿宋" w:eastAsia="仿宋" w:cs="仿宋"/>
                <w:position w:val="-9"/>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EEDF962">
            <w:pPr>
              <w:overflowPunct w:val="0"/>
              <w:topLinePunct/>
              <w:spacing w:line="360" w:lineRule="auto"/>
              <w:ind w:right="14"/>
              <w:jc w:val="center"/>
              <w:rPr>
                <w:rFonts w:ascii="仿宋" w:hAnsi="仿宋" w:eastAsia="仿宋" w:cs="仿宋"/>
                <w:position w:val="-9"/>
              </w:rPr>
            </w:pPr>
          </w:p>
        </w:tc>
      </w:tr>
      <w:tr w14:paraId="0776F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14:paraId="3AEC3D8F">
            <w:pPr>
              <w:spacing w:line="360" w:lineRule="auto"/>
              <w:rPr>
                <w:rFonts w:ascii="仿宋" w:hAnsi="仿宋" w:eastAsia="仿宋" w:cs="仿宋"/>
                <w:position w:val="-9"/>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399CAAD6">
            <w:pPr>
              <w:overflowPunct w:val="0"/>
              <w:topLinePunct/>
              <w:spacing w:line="360" w:lineRule="auto"/>
              <w:ind w:right="14"/>
              <w:jc w:val="center"/>
              <w:rPr>
                <w:rFonts w:ascii="仿宋" w:hAnsi="仿宋" w:eastAsia="仿宋" w:cs="仿宋"/>
                <w:position w:val="-9"/>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2339E8E">
            <w:pPr>
              <w:overflowPunct w:val="0"/>
              <w:topLinePunct/>
              <w:spacing w:line="360" w:lineRule="auto"/>
              <w:ind w:right="14"/>
              <w:jc w:val="center"/>
              <w:rPr>
                <w:rFonts w:ascii="仿宋" w:hAnsi="仿宋" w:eastAsia="仿宋" w:cs="仿宋"/>
                <w:position w:val="-9"/>
              </w:rPr>
            </w:pPr>
          </w:p>
        </w:tc>
        <w:tc>
          <w:tcPr>
            <w:tcW w:w="2551" w:type="dxa"/>
            <w:tcBorders>
              <w:top w:val="single" w:color="000000" w:sz="4" w:space="0"/>
              <w:left w:val="single" w:color="000000" w:sz="4" w:space="0"/>
              <w:bottom w:val="single" w:color="000000" w:sz="4" w:space="0"/>
              <w:right w:val="single" w:color="000000" w:sz="4" w:space="0"/>
            </w:tcBorders>
            <w:vAlign w:val="center"/>
          </w:tcPr>
          <w:p w14:paraId="48D79019">
            <w:pPr>
              <w:overflowPunct w:val="0"/>
              <w:topLinePunct/>
              <w:spacing w:line="360" w:lineRule="auto"/>
              <w:ind w:right="14"/>
              <w:jc w:val="center"/>
              <w:rPr>
                <w:rFonts w:ascii="仿宋" w:hAnsi="仿宋" w:eastAsia="仿宋" w:cs="仿宋"/>
                <w:position w:val="-9"/>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5872E6DC">
            <w:pPr>
              <w:overflowPunct w:val="0"/>
              <w:topLinePunct/>
              <w:spacing w:line="360" w:lineRule="auto"/>
              <w:ind w:right="14"/>
              <w:jc w:val="center"/>
              <w:rPr>
                <w:rFonts w:ascii="仿宋" w:hAnsi="仿宋" w:eastAsia="仿宋" w:cs="仿宋"/>
                <w:position w:val="-9"/>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B20EADB">
            <w:pPr>
              <w:overflowPunct w:val="0"/>
              <w:topLinePunct/>
              <w:spacing w:line="360" w:lineRule="auto"/>
              <w:ind w:right="14"/>
              <w:jc w:val="center"/>
              <w:rPr>
                <w:rFonts w:ascii="仿宋" w:hAnsi="仿宋" w:eastAsia="仿宋" w:cs="仿宋"/>
                <w:position w:val="-9"/>
              </w:rPr>
            </w:pPr>
          </w:p>
        </w:tc>
      </w:tr>
      <w:tr w14:paraId="1C526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14:paraId="4FC2960D">
            <w:pPr>
              <w:spacing w:line="360" w:lineRule="auto"/>
              <w:rPr>
                <w:rFonts w:ascii="仿宋" w:hAnsi="仿宋" w:eastAsia="仿宋" w:cs="仿宋"/>
                <w:position w:val="-9"/>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3352A2A1">
            <w:pPr>
              <w:overflowPunct w:val="0"/>
              <w:topLinePunct/>
              <w:spacing w:line="360" w:lineRule="auto"/>
              <w:ind w:right="14"/>
              <w:jc w:val="center"/>
              <w:rPr>
                <w:rFonts w:ascii="仿宋" w:hAnsi="仿宋" w:eastAsia="仿宋" w:cs="仿宋"/>
                <w:position w:val="-9"/>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C911A4D">
            <w:pPr>
              <w:overflowPunct w:val="0"/>
              <w:topLinePunct/>
              <w:spacing w:line="360" w:lineRule="auto"/>
              <w:ind w:right="14"/>
              <w:jc w:val="center"/>
              <w:rPr>
                <w:rFonts w:ascii="仿宋" w:hAnsi="仿宋" w:eastAsia="仿宋" w:cs="仿宋"/>
                <w:position w:val="-9"/>
              </w:rPr>
            </w:pPr>
          </w:p>
        </w:tc>
        <w:tc>
          <w:tcPr>
            <w:tcW w:w="2551" w:type="dxa"/>
            <w:tcBorders>
              <w:top w:val="single" w:color="000000" w:sz="4" w:space="0"/>
              <w:left w:val="single" w:color="000000" w:sz="4" w:space="0"/>
              <w:bottom w:val="single" w:color="000000" w:sz="4" w:space="0"/>
              <w:right w:val="single" w:color="000000" w:sz="4" w:space="0"/>
            </w:tcBorders>
            <w:vAlign w:val="center"/>
          </w:tcPr>
          <w:p w14:paraId="172454FE">
            <w:pPr>
              <w:overflowPunct w:val="0"/>
              <w:topLinePunct/>
              <w:spacing w:line="360" w:lineRule="auto"/>
              <w:ind w:right="14"/>
              <w:jc w:val="center"/>
              <w:rPr>
                <w:rFonts w:ascii="仿宋" w:hAnsi="仿宋" w:eastAsia="仿宋" w:cs="仿宋"/>
                <w:position w:val="-9"/>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232690CC">
            <w:pPr>
              <w:overflowPunct w:val="0"/>
              <w:topLinePunct/>
              <w:spacing w:line="360" w:lineRule="auto"/>
              <w:ind w:right="14"/>
              <w:jc w:val="center"/>
              <w:rPr>
                <w:rFonts w:ascii="仿宋" w:hAnsi="仿宋" w:eastAsia="仿宋" w:cs="仿宋"/>
                <w:position w:val="-9"/>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87CD8DF">
            <w:pPr>
              <w:overflowPunct w:val="0"/>
              <w:topLinePunct/>
              <w:spacing w:line="360" w:lineRule="auto"/>
              <w:ind w:right="14"/>
              <w:jc w:val="center"/>
              <w:rPr>
                <w:rFonts w:ascii="仿宋" w:hAnsi="仿宋" w:eastAsia="仿宋" w:cs="仿宋"/>
                <w:position w:val="-9"/>
              </w:rPr>
            </w:pPr>
          </w:p>
        </w:tc>
      </w:tr>
      <w:tr w14:paraId="36713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14:paraId="3A894A9C">
            <w:pPr>
              <w:spacing w:line="360" w:lineRule="auto"/>
              <w:rPr>
                <w:rFonts w:ascii="仿宋" w:hAnsi="仿宋" w:eastAsia="仿宋" w:cs="仿宋"/>
                <w:position w:val="-9"/>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45BB7606">
            <w:pPr>
              <w:overflowPunct w:val="0"/>
              <w:topLinePunct/>
              <w:spacing w:line="360" w:lineRule="auto"/>
              <w:ind w:right="14"/>
              <w:jc w:val="center"/>
              <w:rPr>
                <w:rFonts w:ascii="仿宋" w:hAnsi="仿宋" w:eastAsia="仿宋" w:cs="仿宋"/>
                <w:position w:val="-9"/>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026248A">
            <w:pPr>
              <w:overflowPunct w:val="0"/>
              <w:topLinePunct/>
              <w:spacing w:line="360" w:lineRule="auto"/>
              <w:ind w:right="14"/>
              <w:jc w:val="center"/>
              <w:rPr>
                <w:rFonts w:ascii="仿宋" w:hAnsi="仿宋" w:eastAsia="仿宋" w:cs="仿宋"/>
                <w:position w:val="-9"/>
              </w:rPr>
            </w:pPr>
          </w:p>
        </w:tc>
        <w:tc>
          <w:tcPr>
            <w:tcW w:w="2551" w:type="dxa"/>
            <w:tcBorders>
              <w:top w:val="single" w:color="000000" w:sz="4" w:space="0"/>
              <w:left w:val="single" w:color="000000" w:sz="4" w:space="0"/>
              <w:bottom w:val="single" w:color="000000" w:sz="4" w:space="0"/>
              <w:right w:val="single" w:color="000000" w:sz="4" w:space="0"/>
            </w:tcBorders>
            <w:vAlign w:val="center"/>
          </w:tcPr>
          <w:p w14:paraId="49281523">
            <w:pPr>
              <w:overflowPunct w:val="0"/>
              <w:topLinePunct/>
              <w:spacing w:line="360" w:lineRule="auto"/>
              <w:ind w:right="14"/>
              <w:jc w:val="center"/>
              <w:rPr>
                <w:rFonts w:ascii="仿宋" w:hAnsi="仿宋" w:eastAsia="仿宋" w:cs="仿宋"/>
                <w:position w:val="-9"/>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1EDBECCD">
            <w:pPr>
              <w:overflowPunct w:val="0"/>
              <w:topLinePunct/>
              <w:spacing w:line="360" w:lineRule="auto"/>
              <w:ind w:right="14"/>
              <w:jc w:val="center"/>
              <w:rPr>
                <w:rFonts w:ascii="仿宋" w:hAnsi="仿宋" w:eastAsia="仿宋" w:cs="仿宋"/>
                <w:position w:val="-9"/>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452D522">
            <w:pPr>
              <w:overflowPunct w:val="0"/>
              <w:topLinePunct/>
              <w:spacing w:line="360" w:lineRule="auto"/>
              <w:ind w:right="14"/>
              <w:jc w:val="center"/>
              <w:rPr>
                <w:rFonts w:ascii="仿宋" w:hAnsi="仿宋" w:eastAsia="仿宋" w:cs="仿宋"/>
                <w:position w:val="-9"/>
              </w:rPr>
            </w:pPr>
          </w:p>
        </w:tc>
      </w:tr>
      <w:tr w14:paraId="3CE41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14:paraId="7610D3B6">
            <w:pPr>
              <w:spacing w:line="360" w:lineRule="auto"/>
              <w:rPr>
                <w:rFonts w:ascii="仿宋" w:hAnsi="仿宋" w:eastAsia="仿宋" w:cs="仿宋"/>
                <w:position w:val="-9"/>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422EFE2D">
            <w:pPr>
              <w:overflowPunct w:val="0"/>
              <w:topLinePunct/>
              <w:spacing w:line="360" w:lineRule="auto"/>
              <w:ind w:right="14"/>
              <w:jc w:val="center"/>
              <w:rPr>
                <w:rFonts w:ascii="仿宋" w:hAnsi="仿宋" w:eastAsia="仿宋" w:cs="仿宋"/>
                <w:position w:val="-9"/>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8CCFC66">
            <w:pPr>
              <w:overflowPunct w:val="0"/>
              <w:topLinePunct/>
              <w:spacing w:line="360" w:lineRule="auto"/>
              <w:ind w:right="14"/>
              <w:jc w:val="center"/>
              <w:rPr>
                <w:rFonts w:ascii="仿宋" w:hAnsi="仿宋" w:eastAsia="仿宋" w:cs="仿宋"/>
                <w:position w:val="-9"/>
              </w:rPr>
            </w:pPr>
          </w:p>
        </w:tc>
        <w:tc>
          <w:tcPr>
            <w:tcW w:w="2551" w:type="dxa"/>
            <w:tcBorders>
              <w:top w:val="single" w:color="000000" w:sz="4" w:space="0"/>
              <w:left w:val="single" w:color="000000" w:sz="4" w:space="0"/>
              <w:bottom w:val="single" w:color="000000" w:sz="4" w:space="0"/>
              <w:right w:val="single" w:color="000000" w:sz="4" w:space="0"/>
            </w:tcBorders>
            <w:vAlign w:val="center"/>
          </w:tcPr>
          <w:p w14:paraId="00EB7E12">
            <w:pPr>
              <w:overflowPunct w:val="0"/>
              <w:topLinePunct/>
              <w:spacing w:line="360" w:lineRule="auto"/>
              <w:ind w:right="14"/>
              <w:jc w:val="center"/>
              <w:rPr>
                <w:rFonts w:ascii="仿宋" w:hAnsi="仿宋" w:eastAsia="仿宋" w:cs="仿宋"/>
                <w:position w:val="-9"/>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2AD22C14">
            <w:pPr>
              <w:overflowPunct w:val="0"/>
              <w:topLinePunct/>
              <w:spacing w:line="360" w:lineRule="auto"/>
              <w:ind w:right="14"/>
              <w:jc w:val="center"/>
              <w:rPr>
                <w:rFonts w:ascii="仿宋" w:hAnsi="仿宋" w:eastAsia="仿宋" w:cs="仿宋"/>
                <w:position w:val="-9"/>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89CD045">
            <w:pPr>
              <w:overflowPunct w:val="0"/>
              <w:topLinePunct/>
              <w:spacing w:line="360" w:lineRule="auto"/>
              <w:ind w:right="14"/>
              <w:jc w:val="center"/>
              <w:rPr>
                <w:rFonts w:ascii="仿宋" w:hAnsi="仿宋" w:eastAsia="仿宋" w:cs="仿宋"/>
                <w:position w:val="-9"/>
              </w:rPr>
            </w:pPr>
          </w:p>
        </w:tc>
      </w:tr>
    </w:tbl>
    <w:p w14:paraId="550088DC">
      <w:pPr>
        <w:spacing w:line="360" w:lineRule="auto"/>
        <w:ind w:firstLine="140" w:firstLineChars="67"/>
        <w:rPr>
          <w:rFonts w:ascii="仿宋" w:hAnsi="仿宋" w:eastAsia="仿宋" w:cs="仿宋"/>
        </w:rPr>
      </w:pPr>
      <w:r>
        <w:rPr>
          <w:rFonts w:hint="eastAsia" w:cs="仿宋"/>
        </w:rPr>
        <w:t>注：若无商务偏差，本表可不填。</w:t>
      </w:r>
    </w:p>
    <w:p w14:paraId="03503D7C">
      <w:pPr>
        <w:spacing w:line="360" w:lineRule="auto"/>
        <w:ind w:firstLine="3990" w:firstLineChars="1900"/>
        <w:rPr>
          <w:rFonts w:cs="仿宋"/>
        </w:rPr>
      </w:pPr>
      <w:r>
        <w:rPr>
          <w:rFonts w:hint="eastAsia" w:cs="仿宋"/>
        </w:rPr>
        <w:t>供应商：（盖单位章）</w:t>
      </w:r>
    </w:p>
    <w:p w14:paraId="343F4DF9">
      <w:pPr>
        <w:spacing w:line="360" w:lineRule="auto"/>
        <w:ind w:firstLine="3990" w:firstLineChars="1900"/>
        <w:rPr>
          <w:rFonts w:cs="仿宋"/>
        </w:rPr>
      </w:pPr>
      <w:r>
        <w:rPr>
          <w:rFonts w:hint="eastAsia" w:cs="仿宋"/>
        </w:rPr>
        <w:t>法定代表人或其委托代理人：（签字）</w:t>
      </w:r>
    </w:p>
    <w:p w14:paraId="20308B29">
      <w:pPr>
        <w:spacing w:line="360" w:lineRule="auto"/>
        <w:ind w:firstLine="3990" w:firstLineChars="1900"/>
        <w:rPr>
          <w:rFonts w:cs="仿宋"/>
        </w:rPr>
      </w:pPr>
      <w:r>
        <w:rPr>
          <w:rFonts w:hint="eastAsia" w:cs="仿宋"/>
        </w:rPr>
        <w:t>年月日</w:t>
      </w:r>
    </w:p>
    <w:p w14:paraId="1123A599">
      <w:pPr>
        <w:spacing w:line="360" w:lineRule="auto"/>
        <w:ind w:firstLine="6090" w:firstLineChars="2900"/>
        <w:rPr>
          <w:rFonts w:ascii="仿宋" w:hAnsi="仿宋" w:eastAsia="仿宋" w:cs="仿宋"/>
        </w:rPr>
      </w:pPr>
    </w:p>
    <w:p w14:paraId="5246179E">
      <w:pPr>
        <w:pStyle w:val="35"/>
        <w:jc w:val="center"/>
      </w:pPr>
    </w:p>
    <w:p w14:paraId="2F864171">
      <w:pPr>
        <w:pStyle w:val="35"/>
        <w:jc w:val="center"/>
      </w:pPr>
      <w:bookmarkStart w:id="161" w:name="_Toc508871760"/>
    </w:p>
    <w:p w14:paraId="5BB143F8">
      <w:pPr>
        <w:pStyle w:val="35"/>
        <w:ind w:left="0" w:firstLine="0"/>
        <w:jc w:val="left"/>
      </w:pPr>
      <w:r>
        <w:rPr>
          <w:rFonts w:hint="eastAsia" w:ascii="宋体" w:hAnsi="宋体" w:eastAsia="宋体" w:cs="仿宋"/>
          <w:szCs w:val="24"/>
        </w:rPr>
        <w:t>8、供应商认为应补充的其他商务及技术性资料</w:t>
      </w:r>
      <w:bookmarkEnd w:id="161"/>
    </w:p>
    <w:p w14:paraId="14E4C72D"/>
    <w:p w14:paraId="6ACD7AB2">
      <w:pPr>
        <w:pStyle w:val="27"/>
        <w:rPr>
          <w:rFonts w:ascii="仿宋" w:hAnsi="仿宋" w:eastAsia="仿宋"/>
          <w:color w:val="auto"/>
          <w:sz w:val="28"/>
          <w:szCs w:val="28"/>
        </w:rPr>
      </w:pPr>
    </w:p>
    <w:p w14:paraId="281FC2B6">
      <w:pPr>
        <w:pStyle w:val="15"/>
        <w:ind w:firstLine="562"/>
        <w:rPr>
          <w:rFonts w:ascii="仿宋" w:hAnsi="仿宋" w:eastAsia="仿宋"/>
          <w:b/>
          <w:sz w:val="28"/>
          <w:szCs w:val="28"/>
        </w:rPr>
      </w:pPr>
    </w:p>
    <w:p w14:paraId="4639478E"/>
    <w:sectPr>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B2B9">
    <w:pPr>
      <w:pStyle w:val="10"/>
      <w:jc w:val="center"/>
    </w:pPr>
    <w:r>
      <w:fldChar w:fldCharType="begin"/>
    </w:r>
    <w:r>
      <w:rPr>
        <w:rStyle w:val="20"/>
      </w:rPr>
      <w:instrText xml:space="preserve"> PAGE </w:instrText>
    </w:r>
    <w:r>
      <w:fldChar w:fldCharType="separate"/>
    </w:r>
    <w:r>
      <w:rPr>
        <w:rStyle w:val="20"/>
      </w:rPr>
      <w:t>1</w:t>
    </w:r>
    <w:r>
      <w:fldChar w:fldCharType="end"/>
    </w:r>
  </w:p>
  <w:p w14:paraId="2127CB8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5FC2">
    <w:pPr>
      <w:pStyle w:val="10"/>
      <w:ind w:right="360"/>
    </w:pPr>
    <w:r>
      <w:pict>
        <v:rect id="文本框1" o:spid="_x0000_s3074"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0A365B32">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- 16 -</w:t>
                </w:r>
                <w:r>
                  <w:rPr>
                    <w:rFonts w:hint="eastAsia" w:ascii="宋体" w:hAnsi="宋体" w:cs="宋体"/>
                    <w:sz w:val="28"/>
                    <w:szCs w:val="2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2496">
    <w:pPr>
      <w:pStyle w:val="10"/>
      <w:framePr w:wrap="around" w:vAnchor="page" w:hAnchor="page" w:xAlign="right" w:yAlign="center"/>
      <w:rPr>
        <w:rStyle w:val="20"/>
      </w:rPr>
    </w:pPr>
    <w:r>
      <w:fldChar w:fldCharType="begin"/>
    </w:r>
    <w:r>
      <w:rPr>
        <w:rStyle w:val="20"/>
      </w:rPr>
      <w:instrText xml:space="preserve">PAGE  </w:instrText>
    </w:r>
    <w:r>
      <w:fldChar w:fldCharType="separate"/>
    </w:r>
    <w:r>
      <w:rPr>
        <w:rStyle w:val="20"/>
      </w:rPr>
      <w:t>- 12 -</w:t>
    </w:r>
    <w:r>
      <w:fldChar w:fldCharType="end"/>
    </w:r>
  </w:p>
  <w:p w14:paraId="007AEE19">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B66E">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- 12 -</w:t>
    </w:r>
    <w:r>
      <w:rPr>
        <w:rFonts w:ascii="宋体" w:hAnsi="宋体"/>
        <w:sz w:val="28"/>
        <w:szCs w:val="28"/>
      </w:rPr>
      <w:fldChar w:fldCharType="end"/>
    </w:r>
  </w:p>
  <w:p w14:paraId="412E8B46">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F098">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7</w:t>
    </w:r>
    <w:r>
      <w:fldChar w:fldCharType="end"/>
    </w:r>
  </w:p>
  <w:p w14:paraId="203C1CDF">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8517">
    <w:pPr>
      <w:pStyle w:val="10"/>
      <w:framePr w:wrap="around" w:vAnchor="text" w:hAnchor="margin" w:xAlign="center" w:y="1"/>
      <w:rPr>
        <w:rStyle w:val="20"/>
      </w:rPr>
    </w:pPr>
    <w:r>
      <w:fldChar w:fldCharType="begin"/>
    </w:r>
    <w:r>
      <w:rPr>
        <w:rStyle w:val="20"/>
      </w:rPr>
      <w:instrText xml:space="preserve">PAGE  </w:instrText>
    </w:r>
    <w:r>
      <w:fldChar w:fldCharType="end"/>
    </w:r>
  </w:p>
  <w:p w14:paraId="7F70513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6BF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3"/>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3Y2JkYTk2OWU3ZjIwZmQyNWI1NjY4ZmY3MTQ0ODcifQ=="/>
  </w:docVars>
  <w:rsids>
    <w:rsidRoot w:val="004B4178"/>
    <w:rsid w:val="000170A2"/>
    <w:rsid w:val="00020D15"/>
    <w:rsid w:val="000619A2"/>
    <w:rsid w:val="000723E8"/>
    <w:rsid w:val="000C635E"/>
    <w:rsid w:val="000D4837"/>
    <w:rsid w:val="00177293"/>
    <w:rsid w:val="0018491B"/>
    <w:rsid w:val="001C71F7"/>
    <w:rsid w:val="001D5A5D"/>
    <w:rsid w:val="0021648F"/>
    <w:rsid w:val="00250B86"/>
    <w:rsid w:val="00287322"/>
    <w:rsid w:val="002E215C"/>
    <w:rsid w:val="00323AD5"/>
    <w:rsid w:val="003333D2"/>
    <w:rsid w:val="003D690E"/>
    <w:rsid w:val="004A35DC"/>
    <w:rsid w:val="004B2630"/>
    <w:rsid w:val="004B4178"/>
    <w:rsid w:val="004E2068"/>
    <w:rsid w:val="004F1925"/>
    <w:rsid w:val="00520B81"/>
    <w:rsid w:val="0054271C"/>
    <w:rsid w:val="0054419F"/>
    <w:rsid w:val="00586B08"/>
    <w:rsid w:val="00591886"/>
    <w:rsid w:val="00635C39"/>
    <w:rsid w:val="006B2226"/>
    <w:rsid w:val="006C6489"/>
    <w:rsid w:val="006D1F61"/>
    <w:rsid w:val="006D7DA2"/>
    <w:rsid w:val="006F6E17"/>
    <w:rsid w:val="0073747E"/>
    <w:rsid w:val="007C79BE"/>
    <w:rsid w:val="008602C5"/>
    <w:rsid w:val="008950FF"/>
    <w:rsid w:val="00896302"/>
    <w:rsid w:val="008A2720"/>
    <w:rsid w:val="00AC7A25"/>
    <w:rsid w:val="00B1482F"/>
    <w:rsid w:val="00C34F93"/>
    <w:rsid w:val="00CB7607"/>
    <w:rsid w:val="00D44487"/>
    <w:rsid w:val="00E333BE"/>
    <w:rsid w:val="00E42B75"/>
    <w:rsid w:val="00E62C73"/>
    <w:rsid w:val="00E63772"/>
    <w:rsid w:val="00E96A2C"/>
    <w:rsid w:val="00F06566"/>
    <w:rsid w:val="00F935EC"/>
    <w:rsid w:val="00FF37C4"/>
    <w:rsid w:val="00FF4E15"/>
    <w:rsid w:val="0358298F"/>
    <w:rsid w:val="049F50E1"/>
    <w:rsid w:val="05852C20"/>
    <w:rsid w:val="0CBE430D"/>
    <w:rsid w:val="0CCA40D0"/>
    <w:rsid w:val="0DDA0463"/>
    <w:rsid w:val="0FA64884"/>
    <w:rsid w:val="0FF71304"/>
    <w:rsid w:val="122F4022"/>
    <w:rsid w:val="18B4161C"/>
    <w:rsid w:val="1DDD7650"/>
    <w:rsid w:val="26EB1E4A"/>
    <w:rsid w:val="27D00779"/>
    <w:rsid w:val="2B763691"/>
    <w:rsid w:val="33283616"/>
    <w:rsid w:val="359824DB"/>
    <w:rsid w:val="364B0016"/>
    <w:rsid w:val="3845188F"/>
    <w:rsid w:val="38F70137"/>
    <w:rsid w:val="4133005E"/>
    <w:rsid w:val="4823219D"/>
    <w:rsid w:val="49341EC5"/>
    <w:rsid w:val="49526AC1"/>
    <w:rsid w:val="512A6CF1"/>
    <w:rsid w:val="572F1CAD"/>
    <w:rsid w:val="58AD3695"/>
    <w:rsid w:val="59C51384"/>
    <w:rsid w:val="5CCC0333"/>
    <w:rsid w:val="5F416CA7"/>
    <w:rsid w:val="6DA407AD"/>
    <w:rsid w:val="73D40ED8"/>
    <w:rsid w:val="751D338E"/>
    <w:rsid w:val="79B46D89"/>
    <w:rsid w:val="7A851096"/>
    <w:rsid w:val="7B234065"/>
    <w:rsid w:val="7EF2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8"/>
    <w:qFormat/>
    <w:uiPriority w:val="99"/>
    <w:pPr>
      <w:keepNext/>
      <w:keepLines/>
      <w:spacing w:before="260" w:after="260" w:line="415" w:lineRule="auto"/>
      <w:outlineLvl w:val="2"/>
    </w:pPr>
    <w:rPr>
      <w:rFonts w:ascii="Times New Roman" w:hAnsi="Times New Roman"/>
      <w:b/>
      <w:bCs/>
      <w:kern w:val="0"/>
      <w:sz w:val="32"/>
      <w:szCs w:val="32"/>
    </w:rPr>
  </w:style>
  <w:style w:type="paragraph" w:styleId="6">
    <w:name w:val="heading 4"/>
    <w:basedOn w:val="1"/>
    <w:next w:val="1"/>
    <w:qFormat/>
    <w:uiPriority w:val="99"/>
    <w:pPr>
      <w:keepNext/>
      <w:keepLines/>
      <w:spacing w:before="280" w:after="290" w:line="374"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7">
    <w:name w:val="Body Text"/>
    <w:basedOn w:val="1"/>
    <w:unhideWhenUsed/>
    <w:qFormat/>
    <w:uiPriority w:val="99"/>
    <w:pPr>
      <w:spacing w:after="120"/>
    </w:pPr>
  </w:style>
  <w:style w:type="paragraph" w:styleId="8">
    <w:name w:val="Body Text Indent"/>
    <w:basedOn w:val="1"/>
    <w:unhideWhenUsed/>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3">
    <w:name w:val="Normal (Web)"/>
    <w:basedOn w:val="1"/>
    <w:qFormat/>
    <w:uiPriority w:val="0"/>
    <w:pPr>
      <w:jc w:val="left"/>
    </w:pPr>
    <w:rPr>
      <w:kern w:val="0"/>
      <w:sz w:val="24"/>
    </w:rPr>
  </w:style>
  <w:style w:type="paragraph" w:styleId="14">
    <w:name w:val="Body Text First Indent"/>
    <w:basedOn w:val="7"/>
    <w:unhideWhenUsed/>
    <w:qFormat/>
    <w:uiPriority w:val="0"/>
    <w:pPr>
      <w:ind w:firstLine="420" w:firstLineChars="100"/>
    </w:pPr>
    <w:rPr>
      <w:color w:val="000000"/>
      <w:sz w:val="28"/>
    </w:rPr>
  </w:style>
  <w:style w:type="paragraph" w:styleId="15">
    <w:name w:val="Body Text First Indent 2"/>
    <w:basedOn w:val="8"/>
    <w:qFormat/>
    <w:uiPriority w:val="99"/>
    <w:pPr>
      <w:ind w:firstLine="420" w:firstLineChars="200"/>
    </w:pPr>
  </w:style>
  <w:style w:type="table" w:styleId="17">
    <w:name w:val="Table Grid"/>
    <w:basedOn w:val="16"/>
    <w:unhideWhenUsed/>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rFonts w:ascii="Times New Roman" w:hAnsi="Times New Roman" w:eastAsia="宋体" w:cs="Times New Roman"/>
      <w:b/>
    </w:rPr>
  </w:style>
  <w:style w:type="character" w:styleId="20">
    <w:name w:val="page number"/>
    <w:qFormat/>
    <w:uiPriority w:val="0"/>
    <w:rPr>
      <w:rFonts w:ascii="Times New Roman" w:hAnsi="Times New Roman" w:eastAsia="宋体" w:cs="Times New Roman"/>
    </w:rPr>
  </w:style>
  <w:style w:type="character" w:styleId="21">
    <w:name w:val="FollowedHyperlink"/>
    <w:basedOn w:val="18"/>
    <w:qFormat/>
    <w:uiPriority w:val="0"/>
    <w:rPr>
      <w:rFonts w:ascii="Times New Roman" w:hAnsi="Times New Roman" w:eastAsia="宋体" w:cs="Times New Roman"/>
      <w:color w:val="333333"/>
      <w:u w:val="none"/>
    </w:rPr>
  </w:style>
  <w:style w:type="character" w:styleId="22">
    <w:name w:val="HTML Definition"/>
    <w:basedOn w:val="18"/>
    <w:qFormat/>
    <w:uiPriority w:val="0"/>
    <w:rPr>
      <w:rFonts w:ascii="Times New Roman" w:hAnsi="Times New Roman" w:eastAsia="宋体" w:cs="Times New Roman"/>
      <w:i/>
    </w:rPr>
  </w:style>
  <w:style w:type="character" w:styleId="23">
    <w:name w:val="Hyperlink"/>
    <w:basedOn w:val="18"/>
    <w:qFormat/>
    <w:uiPriority w:val="0"/>
    <w:rPr>
      <w:rFonts w:ascii="Times New Roman" w:hAnsi="Times New Roman" w:eastAsia="宋体" w:cs="Times New Roman"/>
      <w:color w:val="333333"/>
      <w:u w:val="none"/>
    </w:rPr>
  </w:style>
  <w:style w:type="character" w:styleId="24">
    <w:name w:val="HTML Code"/>
    <w:basedOn w:val="18"/>
    <w:qFormat/>
    <w:uiPriority w:val="0"/>
    <w:rPr>
      <w:rFonts w:hint="default" w:ascii="monospace" w:hAnsi="monospace" w:eastAsia="monospace" w:cs="monospace"/>
      <w:color w:val="C7254E"/>
      <w:sz w:val="21"/>
      <w:szCs w:val="21"/>
      <w:shd w:val="clear" w:color="auto" w:fill="F9F2F4"/>
    </w:rPr>
  </w:style>
  <w:style w:type="character" w:styleId="25">
    <w:name w:val="HTML Keyboard"/>
    <w:basedOn w:val="18"/>
    <w:qFormat/>
    <w:uiPriority w:val="0"/>
    <w:rPr>
      <w:rFonts w:hint="default" w:ascii="monospace" w:hAnsi="monospace" w:eastAsia="monospace" w:cs="monospace"/>
      <w:color w:val="FFFFFF"/>
      <w:sz w:val="21"/>
      <w:szCs w:val="21"/>
      <w:shd w:val="clear" w:color="auto" w:fill="333333"/>
    </w:rPr>
  </w:style>
  <w:style w:type="character" w:styleId="26">
    <w:name w:val="HTML Sample"/>
    <w:basedOn w:val="18"/>
    <w:qFormat/>
    <w:uiPriority w:val="0"/>
    <w:rPr>
      <w:rFonts w:ascii="monospace" w:hAnsi="monospace" w:eastAsia="monospace" w:cs="monospace"/>
      <w:sz w:val="21"/>
      <w:szCs w:val="21"/>
    </w:rPr>
  </w:style>
  <w:style w:type="paragraph" w:customStyle="1" w:styleId="2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3 Char"/>
    <w:link w:val="5"/>
    <w:qFormat/>
    <w:uiPriority w:val="99"/>
    <w:rPr>
      <w:rFonts w:ascii="Times New Roman" w:hAnsi="Times New Roman" w:eastAsia="宋体" w:cs="Times New Roman"/>
      <w:b/>
      <w:bCs/>
      <w:sz w:val="32"/>
      <w:szCs w:val="32"/>
    </w:rPr>
  </w:style>
  <w:style w:type="character" w:customStyle="1" w:styleId="29">
    <w:name w:val="NormalCharacter"/>
    <w:semiHidden/>
    <w:qFormat/>
    <w:uiPriority w:val="99"/>
    <w:rPr>
      <w:rFonts w:ascii="Times New Roman" w:hAnsi="Times New Roman" w:eastAsia="宋体" w:cs="Times New Roman"/>
    </w:rPr>
  </w:style>
  <w:style w:type="character" w:customStyle="1" w:styleId="30">
    <w:name w:val="hover11"/>
    <w:basedOn w:val="18"/>
    <w:qFormat/>
    <w:uiPriority w:val="0"/>
    <w:rPr>
      <w:rFonts w:ascii="Times New Roman" w:hAnsi="Times New Roman" w:eastAsia="宋体" w:cs="Times New Roman"/>
    </w:rPr>
  </w:style>
  <w:style w:type="character" w:customStyle="1" w:styleId="31">
    <w:name w:val="样式2 Char"/>
    <w:link w:val="32"/>
    <w:qFormat/>
    <w:locked/>
    <w:uiPriority w:val="0"/>
    <w:rPr>
      <w:rFonts w:ascii="Times New Roman" w:hAnsi="Times New Roman" w:eastAsia="黑体"/>
      <w:b/>
      <w:kern w:val="2"/>
      <w:sz w:val="44"/>
      <w:szCs w:val="44"/>
    </w:rPr>
  </w:style>
  <w:style w:type="paragraph" w:customStyle="1" w:styleId="32">
    <w:name w:val="样式2"/>
    <w:basedOn w:val="1"/>
    <w:link w:val="31"/>
    <w:qFormat/>
    <w:uiPriority w:val="0"/>
    <w:pPr>
      <w:spacing w:beforeLines="50" w:line="360" w:lineRule="auto"/>
      <w:jc w:val="center"/>
      <w:outlineLvl w:val="0"/>
    </w:pPr>
    <w:rPr>
      <w:rFonts w:ascii="Times New Roman" w:hAnsi="Times New Roman" w:eastAsia="黑体"/>
      <w:b/>
      <w:sz w:val="44"/>
      <w:szCs w:val="44"/>
    </w:rPr>
  </w:style>
  <w:style w:type="character" w:customStyle="1" w:styleId="33">
    <w:name w:val="cur"/>
    <w:basedOn w:val="18"/>
    <w:qFormat/>
    <w:uiPriority w:val="0"/>
    <w:rPr>
      <w:rFonts w:ascii="Times New Roman" w:hAnsi="Times New Roman" w:eastAsia="宋体" w:cs="Times New Roman"/>
      <w:shd w:val="clear" w:color="auto" w:fill="FF0000"/>
    </w:rPr>
  </w:style>
  <w:style w:type="character" w:customStyle="1" w:styleId="34">
    <w:name w:val="tlisttime"/>
    <w:basedOn w:val="18"/>
    <w:qFormat/>
    <w:uiPriority w:val="0"/>
    <w:rPr>
      <w:rFonts w:ascii="Times New Roman" w:hAnsi="Times New Roman" w:eastAsia="宋体" w:cs="Times New Roman"/>
      <w:color w:val="999999"/>
    </w:rPr>
  </w:style>
  <w:style w:type="paragraph" w:customStyle="1" w:styleId="35">
    <w:name w:val="三级"/>
    <w:basedOn w:val="36"/>
    <w:qFormat/>
    <w:uiPriority w:val="0"/>
    <w:pPr>
      <w:tabs>
        <w:tab w:val="left" w:pos="851"/>
      </w:tabs>
    </w:pPr>
    <w:rPr>
      <w:b w:val="0"/>
      <w:bCs w:val="0"/>
    </w:rPr>
  </w:style>
  <w:style w:type="paragraph" w:customStyle="1" w:styleId="36">
    <w:name w:val="A标题4"/>
    <w:basedOn w:val="6"/>
    <w:next w:val="1"/>
    <w:qFormat/>
    <w:uiPriority w:val="0"/>
    <w:pPr>
      <w:keepNext w:val="0"/>
      <w:keepLines w:val="0"/>
      <w:tabs>
        <w:tab w:val="left" w:pos="851"/>
      </w:tabs>
      <w:spacing w:before="0" w:after="80" w:line="360" w:lineRule="auto"/>
      <w:ind w:left="851" w:hanging="851"/>
    </w:pPr>
    <w:rPr>
      <w:sz w:val="24"/>
    </w:rPr>
  </w:style>
  <w:style w:type="paragraph" w:customStyle="1" w:styleId="37">
    <w:name w:val="标题1 Char Char Char"/>
    <w:basedOn w:val="3"/>
    <w:qFormat/>
    <w:uiPriority w:val="0"/>
    <w:pPr>
      <w:tabs>
        <w:tab w:val="center" w:pos="4512"/>
        <w:tab w:val="center" w:pos="4606"/>
      </w:tabs>
      <w:adjustRightInd w:val="0"/>
      <w:snapToGrid w:val="0"/>
      <w:spacing w:beforeLines="50" w:after="240"/>
      <w:jc w:val="center"/>
      <w:outlineLvl w:val="1"/>
    </w:pPr>
    <w:rPr>
      <w:rFonts w:ascii="Calibri" w:hAnsi="Calibri"/>
      <w:bCs w:val="0"/>
      <w:sz w:val="28"/>
      <w:szCs w:val="20"/>
    </w:rPr>
  </w:style>
  <w:style w:type="paragraph" w:customStyle="1" w:styleId="38">
    <w:name w:val="一级"/>
    <w:basedOn w:val="32"/>
    <w:qFormat/>
    <w:uiPriority w:val="0"/>
    <w:rPr>
      <w:b w:val="0"/>
      <w:sz w:val="32"/>
      <w:szCs w:val="32"/>
    </w:rPr>
  </w:style>
  <w:style w:type="paragraph" w:customStyle="1" w:styleId="39">
    <w:name w:val="样式 标题 2 + Times New Roman 四号 非加粗 段前: 5 磅 段后: 0 磅 行距: 固定值 20..."/>
    <w:basedOn w:val="4"/>
    <w:qFormat/>
    <w:uiPriority w:val="99"/>
    <w:pPr>
      <w:spacing w:before="100" w:after="0" w:line="400" w:lineRule="exact"/>
    </w:pPr>
    <w:rPr>
      <w:rFonts w:ascii="Times New Roman" w:hAnsi="Times New Roman"/>
      <w:b w:val="0"/>
      <w:bCs w:val="0"/>
      <w:sz w:val="20"/>
      <w:szCs w:val="20"/>
    </w:rPr>
  </w:style>
  <w:style w:type="paragraph" w:customStyle="1" w:styleId="40">
    <w:name w:val="列表段落1"/>
    <w:basedOn w:val="1"/>
    <w:qFormat/>
    <w:uiPriority w:val="99"/>
    <w:pPr>
      <w:ind w:firstLine="420" w:firstLineChars="200"/>
    </w:pPr>
  </w:style>
  <w:style w:type="paragraph" w:customStyle="1" w:styleId="41">
    <w:name w:val="二级"/>
    <w:basedOn w:val="36"/>
    <w:qFormat/>
    <w:uiPriority w:val="0"/>
    <w:pPr>
      <w:jc w:val="center"/>
    </w:pPr>
    <w:rPr>
      <w:b w:val="0"/>
      <w:bCs w:val="0"/>
      <w:sz w:val="28"/>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p0"/>
    <w:basedOn w:val="1"/>
    <w:qFormat/>
    <w:uiPriority w:val="99"/>
    <w:rPr>
      <w:rFonts w:ascii="Times New Roman" w:hAnsi="Times New Roman"/>
      <w:szCs w:val="21"/>
    </w:rPr>
  </w:style>
  <w:style w:type="paragraph" w:customStyle="1" w:styleId="44">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paragraph" w:customStyle="1" w:styleId="45">
    <w:name w:val="样式1"/>
    <w:basedOn w:val="1"/>
    <w:next w:val="6"/>
    <w:qFormat/>
    <w:uiPriority w:val="0"/>
    <w:pPr>
      <w:kinsoku w:val="0"/>
      <w:autoSpaceDE w:val="0"/>
      <w:autoSpaceDN w:val="0"/>
      <w:adjustRightInd w:val="0"/>
      <w:snapToGrid w:val="0"/>
      <w:spacing w:line="360" w:lineRule="auto"/>
      <w:ind w:firstLine="420" w:firstLineChars="200"/>
      <w:textAlignment w:val="baseline"/>
    </w:pPr>
    <w:rPr>
      <w:rFonts w:ascii="Arial" w:hAnsi="Arial" w:eastAsia="Arial"/>
      <w:snapToGrid w:val="0"/>
      <w:color w:val="000000"/>
      <w:szCs w:val="21"/>
      <w:lang w:eastAsia="en-US"/>
    </w:rPr>
  </w:style>
  <w:style w:type="paragraph" w:customStyle="1" w:styleId="46">
    <w:name w:val="正文1"/>
    <w:basedOn w:val="1"/>
    <w:qFormat/>
    <w:uiPriority w:val="0"/>
    <w:pPr>
      <w:kinsoku w:val="0"/>
      <w:autoSpaceDE w:val="0"/>
      <w:autoSpaceDN w:val="0"/>
      <w:adjustRightInd w:val="0"/>
      <w:snapToGrid w:val="0"/>
      <w:textAlignment w:val="baseline"/>
    </w:pPr>
    <w:rPr>
      <w:rFonts w:ascii="Times New Roman" w:hAnsi="Times New Roman" w:eastAsia="Arial"/>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15590</Words>
  <Characters>16818</Characters>
  <Lines>129</Lines>
  <Paragraphs>36</Paragraphs>
  <TotalTime>3</TotalTime>
  <ScaleCrop>false</ScaleCrop>
  <LinksUpToDate>false</LinksUpToDate>
  <CharactersWithSpaces>18485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2025-06-27T06:54:00Z</dcterms:created>
  <dc:creator>小美</dc:creator>
  <cp:lastModifiedBy>史美伟</cp:lastModifiedBy>
  <cp:lastPrinted>2020-09-25T06:12:00Z</cp:lastPrinted>
  <dcterms:modified xsi:type="dcterms:W3CDTF">2025-06-30T02:36:45Z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C1D2998A4DD347DBB62A91F0DAC5161E_13</vt:lpwstr>
  </property>
  <property fmtid="{D5CDD505-2E9C-101B-9397-08002B2CF9AE}" pid="4" name="KSOTemplateDocerSaveRecord">
    <vt:lpwstr>eyJoZGlkIjoiODZkNjExNWZlMWRjZGM0MmRiNTUzN2UxMjdjNWUyZWYiLCJ1c2VySWQiOiI1MTUxNzA1ODQifQ==</vt:lpwstr>
  </property>
</Properties>
</file>